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15768EF9" w:rsidR="00851408" w:rsidRDefault="005B2DA0" w:rsidP="00D974A4">
      <w:pPr>
        <w:pStyle w:val="Ttulo1"/>
        <w:spacing w:line="360" w:lineRule="auto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02082" wp14:editId="0057B2D0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21D52BBB" w14:textId="4F9CB42F" w:rsidR="005B2DA0" w:rsidRPr="005B2DA0" w:rsidRDefault="005B2DA0" w:rsidP="005B2DA0">
      <w:r>
        <w:t>8º ano</w:t>
      </w:r>
    </w:p>
    <w:p w14:paraId="39D181DC" w14:textId="77777777" w:rsidR="006446EA" w:rsidRDefault="006446EA" w:rsidP="00260050">
      <w:pPr>
        <w:spacing w:line="360" w:lineRule="auto"/>
        <w:jc w:val="center"/>
      </w:pPr>
    </w:p>
    <w:p w14:paraId="156884DB" w14:textId="77777777" w:rsidR="006446EA" w:rsidRDefault="006446EA" w:rsidP="00260050">
      <w:pPr>
        <w:spacing w:line="360" w:lineRule="auto"/>
        <w:jc w:val="center"/>
      </w:pPr>
    </w:p>
    <w:p w14:paraId="72C02A40" w14:textId="6B423D5D" w:rsidR="00A710D3" w:rsidRPr="009B43F4" w:rsidRDefault="005B2DA0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5C7763F3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4605" r="18415" b="13970"/>
                <wp:wrapNone/>
                <wp:docPr id="186713801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33530308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01F75460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6446E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GABARITO 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8A24B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2°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98001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3080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left:0;text-align:left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" filled="f" stroked="f" strokeweight="1.5pt">
                  <v:textbox>
                    <w:txbxContent>
                      <w:p w14:paraId="0E2EB6E8" w14:textId="01F75460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6446E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GABARITO 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8A24B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2°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" strokeweight="2pt"/>
              </v:group>
            </w:pict>
          </mc:Fallback>
        </mc:AlternateContent>
      </w:r>
    </w:p>
    <w:p w14:paraId="5121DA0D" w14:textId="77777777" w:rsidR="00260050" w:rsidRPr="009B43F4" w:rsidRDefault="00260050" w:rsidP="00260050">
      <w:pPr>
        <w:spacing w:line="360" w:lineRule="auto"/>
        <w:jc w:val="center"/>
      </w:pPr>
    </w:p>
    <w:p w14:paraId="1AB707DB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67278CD" w14:textId="38EE1AB0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República jacobina, República do Terror, Período do Terror, Convenção Nacional.</w:t>
      </w:r>
    </w:p>
    <w:p w14:paraId="626D7231" w14:textId="517B1D43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Conhecido como "Período do Terror" devido à intensa repressão e execuções durante a Revolução Francesa.</w:t>
      </w:r>
    </w:p>
    <w:p w14:paraId="4D2FF5B3" w14:textId="1E02BD2B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A guerra entre França e Áustria durante o Diretório foi motivada por disputas territoriais e pela oposição à expansão dos ideais revolucionários franceses; além da morte de Maria Antonieta, irmã do rei da Áustria e antiga rainha francesa.</w:t>
      </w:r>
    </w:p>
    <w:p w14:paraId="154CFC06" w14:textId="03621DED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A Concordata de 1801 foi um acordo entre Napoleão Bonaparte e o Papa Pio VII que restaurou relações entre a França e a Igreja Católica, concedendo à Igreja certos direitos enquanto mantinha o controle estatal sobre ela.</w:t>
      </w:r>
    </w:p>
    <w:p w14:paraId="04891CA7" w14:textId="70E59A1E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O Bloqueio Continental foi uma política de Napoleão para proibir o comércio entre os países europeus e a Grã-Bretanha.</w:t>
      </w:r>
    </w:p>
    <w:p w14:paraId="63AAC9ED" w14:textId="309C31D5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O principal objetivo do Bloqueio Continental era enfraquecer a economia britânica e forçá-la a render-se.</w:t>
      </w:r>
    </w:p>
    <w:p w14:paraId="088A9338" w14:textId="2BECC5D5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Napoleão aplicava medidas punitivas, como embargos comerciais e intervenção militar, contra os países que desrespeitavam o Bloqueio Continental.</w:t>
      </w:r>
    </w:p>
    <w:p w14:paraId="2B8BD6CD" w14:textId="56C44B4B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A derrota de Napoleão na Rússia em 1811 foi causada principalmente pelo clima severo, táticas de guerrilha russas e problemas de abastecimento.</w:t>
      </w:r>
    </w:p>
    <w:p w14:paraId="67686EF5" w14:textId="2A1CC900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O Congresso de Viena foi uma conferência entre as principais potências europeias para reorganizar o continente após as Guerras Napoleônicas.</w:t>
      </w:r>
    </w:p>
    <w:p w14:paraId="18626B12" w14:textId="4246E8B1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O principal objetivo do Congresso de Viena era restaurar a estabilidade na Europa e evitar futuras guerras.</w:t>
      </w:r>
    </w:p>
    <w:p w14:paraId="4B5DC399" w14:textId="70443A88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Os três princípios do Congresso de Viena eram: legitimidade (restauração de monarquias legítimas), equilíbrio de poder (distribuição de poder para evitar hegemonia) e conservadorismo (preservação da ordem estabelecida).</w:t>
      </w:r>
    </w:p>
    <w:p w14:paraId="5DA2F3FA" w14:textId="0E3E571E" w:rsidR="00D154D9" w:rsidRDefault="22BB246A" w:rsidP="22BB246A">
      <w:pPr>
        <w:pStyle w:val="PargrafodaLista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system-ui" w:eastAsia="system-ui" w:hAnsi="system-ui" w:cs="system-ui"/>
          <w:color w:val="0D0D0D" w:themeColor="text1" w:themeTint="F2"/>
          <w:sz w:val="24"/>
          <w:szCs w:val="24"/>
        </w:rPr>
      </w:pPr>
      <w:r w:rsidRPr="22BB246A">
        <w:rPr>
          <w:rFonts w:ascii="system-ui" w:eastAsia="system-ui" w:hAnsi="system-ui" w:cs="system-ui"/>
          <w:color w:val="0D0D0D" w:themeColor="text1" w:themeTint="F2"/>
          <w:sz w:val="24"/>
          <w:szCs w:val="24"/>
        </w:rPr>
        <w:t>O Congresso de Viena via as colônias da Europa nas Américas como pertencentes às potências colonizadoras e buscava restaurar o controle sobre elas, quando possível, após as guerras napoleônicas.</w:t>
      </w:r>
    </w:p>
    <w:p w14:paraId="7AB51BF2" w14:textId="5F61650A" w:rsidR="00D154D9" w:rsidRDefault="00D154D9" w:rsidP="22BB246A">
      <w:pPr>
        <w:jc w:val="both"/>
        <w:rPr>
          <w:sz w:val="14"/>
          <w:szCs w:val="14"/>
        </w:rPr>
      </w:pPr>
    </w:p>
    <w:p w14:paraId="620FB53D" w14:textId="77777777" w:rsidR="001C1D76" w:rsidRDefault="001C1D76" w:rsidP="001C1D76">
      <w:pPr>
        <w:pStyle w:val="PargrafodaLista"/>
        <w:rPr>
          <w:rFonts w:ascii="Calibri" w:hAnsi="Calibri"/>
          <w:sz w:val="24"/>
          <w:szCs w:val="24"/>
        </w:rPr>
      </w:pPr>
    </w:p>
    <w:p w14:paraId="54DDF513" w14:textId="77777777" w:rsidR="001C1D76" w:rsidRDefault="001C1D76" w:rsidP="00772BC7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sectPr w:rsidR="001C1D76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2533"/>
    <w:multiLevelType w:val="hybridMultilevel"/>
    <w:tmpl w:val="6B1EE5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33C1"/>
    <w:multiLevelType w:val="hybridMultilevel"/>
    <w:tmpl w:val="9B3CF18C"/>
    <w:lvl w:ilvl="0" w:tplc="1F60FAA4">
      <w:start w:val="1"/>
      <w:numFmt w:val="decimal"/>
      <w:lvlText w:val="%1."/>
      <w:lvlJc w:val="left"/>
      <w:pPr>
        <w:ind w:left="720" w:hanging="360"/>
      </w:pPr>
    </w:lvl>
    <w:lvl w:ilvl="1" w:tplc="04326046">
      <w:start w:val="1"/>
      <w:numFmt w:val="lowerLetter"/>
      <w:lvlText w:val="%2."/>
      <w:lvlJc w:val="left"/>
      <w:pPr>
        <w:ind w:left="1440" w:hanging="360"/>
      </w:pPr>
    </w:lvl>
    <w:lvl w:ilvl="2" w:tplc="C290AF62">
      <w:start w:val="1"/>
      <w:numFmt w:val="lowerRoman"/>
      <w:lvlText w:val="%3."/>
      <w:lvlJc w:val="right"/>
      <w:pPr>
        <w:ind w:left="2160" w:hanging="180"/>
      </w:pPr>
    </w:lvl>
    <w:lvl w:ilvl="3" w:tplc="C002BA30">
      <w:start w:val="1"/>
      <w:numFmt w:val="decimal"/>
      <w:lvlText w:val="%4."/>
      <w:lvlJc w:val="left"/>
      <w:pPr>
        <w:ind w:left="2880" w:hanging="360"/>
      </w:pPr>
    </w:lvl>
    <w:lvl w:ilvl="4" w:tplc="347E547E">
      <w:start w:val="1"/>
      <w:numFmt w:val="lowerLetter"/>
      <w:lvlText w:val="%5."/>
      <w:lvlJc w:val="left"/>
      <w:pPr>
        <w:ind w:left="3600" w:hanging="360"/>
      </w:pPr>
    </w:lvl>
    <w:lvl w:ilvl="5" w:tplc="E940D4B8">
      <w:start w:val="1"/>
      <w:numFmt w:val="lowerRoman"/>
      <w:lvlText w:val="%6."/>
      <w:lvlJc w:val="right"/>
      <w:pPr>
        <w:ind w:left="4320" w:hanging="180"/>
      </w:pPr>
    </w:lvl>
    <w:lvl w:ilvl="6" w:tplc="4AF0541C">
      <w:start w:val="1"/>
      <w:numFmt w:val="decimal"/>
      <w:lvlText w:val="%7."/>
      <w:lvlJc w:val="left"/>
      <w:pPr>
        <w:ind w:left="5040" w:hanging="360"/>
      </w:pPr>
    </w:lvl>
    <w:lvl w:ilvl="7" w:tplc="3440CA5A">
      <w:start w:val="1"/>
      <w:numFmt w:val="lowerLetter"/>
      <w:lvlText w:val="%8."/>
      <w:lvlJc w:val="left"/>
      <w:pPr>
        <w:ind w:left="5760" w:hanging="360"/>
      </w:pPr>
    </w:lvl>
    <w:lvl w:ilvl="8" w:tplc="714844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F61BF"/>
    <w:multiLevelType w:val="hybridMultilevel"/>
    <w:tmpl w:val="0FF0CA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5731">
    <w:abstractNumId w:val="12"/>
  </w:num>
  <w:num w:numId="2" w16cid:durableId="1444153155">
    <w:abstractNumId w:val="1"/>
  </w:num>
  <w:num w:numId="3" w16cid:durableId="1037464169">
    <w:abstractNumId w:val="5"/>
  </w:num>
  <w:num w:numId="4" w16cid:durableId="120418502">
    <w:abstractNumId w:val="11"/>
  </w:num>
  <w:num w:numId="5" w16cid:durableId="476460428">
    <w:abstractNumId w:val="7"/>
  </w:num>
  <w:num w:numId="6" w16cid:durableId="111673747">
    <w:abstractNumId w:val="9"/>
  </w:num>
  <w:num w:numId="7" w16cid:durableId="235434128">
    <w:abstractNumId w:val="0"/>
  </w:num>
  <w:num w:numId="8" w16cid:durableId="421755182">
    <w:abstractNumId w:val="4"/>
  </w:num>
  <w:num w:numId="9" w16cid:durableId="848326544">
    <w:abstractNumId w:val="8"/>
  </w:num>
  <w:num w:numId="10" w16cid:durableId="1015962434">
    <w:abstractNumId w:val="3"/>
  </w:num>
  <w:num w:numId="11" w16cid:durableId="1045714606">
    <w:abstractNumId w:val="10"/>
  </w:num>
  <w:num w:numId="12" w16cid:durableId="88235650">
    <w:abstractNumId w:val="2"/>
  </w:num>
  <w:num w:numId="13" w16cid:durableId="269553972">
    <w:abstractNumId w:val="13"/>
  </w:num>
  <w:num w:numId="14" w16cid:durableId="1541093510">
    <w:abstractNumId w:val="6"/>
  </w:num>
  <w:num w:numId="15" w16cid:durableId="174405919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1C0B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1D76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0B2D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206B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4727A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2DA0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46EA"/>
    <w:rsid w:val="0064540C"/>
    <w:rsid w:val="00663CC0"/>
    <w:rsid w:val="0066700A"/>
    <w:rsid w:val="00671461"/>
    <w:rsid w:val="00680059"/>
    <w:rsid w:val="00686B9D"/>
    <w:rsid w:val="006926AE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2BC7"/>
    <w:rsid w:val="007740CB"/>
    <w:rsid w:val="00774D6A"/>
    <w:rsid w:val="007754E1"/>
    <w:rsid w:val="00775758"/>
    <w:rsid w:val="007773BF"/>
    <w:rsid w:val="007839E8"/>
    <w:rsid w:val="007932FC"/>
    <w:rsid w:val="007937E1"/>
    <w:rsid w:val="007940F0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503DB"/>
    <w:rsid w:val="00851408"/>
    <w:rsid w:val="0085374D"/>
    <w:rsid w:val="00856EE9"/>
    <w:rsid w:val="0086406A"/>
    <w:rsid w:val="008641E9"/>
    <w:rsid w:val="008651A4"/>
    <w:rsid w:val="00874F1E"/>
    <w:rsid w:val="0087683E"/>
    <w:rsid w:val="008774FC"/>
    <w:rsid w:val="00887375"/>
    <w:rsid w:val="00896E37"/>
    <w:rsid w:val="00897531"/>
    <w:rsid w:val="008A24B9"/>
    <w:rsid w:val="008A2C72"/>
    <w:rsid w:val="008A5C33"/>
    <w:rsid w:val="008B019A"/>
    <w:rsid w:val="008C2CF1"/>
    <w:rsid w:val="008C463A"/>
    <w:rsid w:val="008C6C91"/>
    <w:rsid w:val="008D0149"/>
    <w:rsid w:val="008D0DFF"/>
    <w:rsid w:val="008D583F"/>
    <w:rsid w:val="008D6E16"/>
    <w:rsid w:val="008E6687"/>
    <w:rsid w:val="008F3BE0"/>
    <w:rsid w:val="00906368"/>
    <w:rsid w:val="00907D71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04C6"/>
    <w:rsid w:val="00992C4C"/>
    <w:rsid w:val="009957A0"/>
    <w:rsid w:val="00996D7C"/>
    <w:rsid w:val="009979E7"/>
    <w:rsid w:val="009B248A"/>
    <w:rsid w:val="009B43F4"/>
    <w:rsid w:val="009B4993"/>
    <w:rsid w:val="009B576B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3A9B"/>
    <w:rsid w:val="00A3704C"/>
    <w:rsid w:val="00A37D80"/>
    <w:rsid w:val="00A4198B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C4FC0"/>
    <w:rsid w:val="00BD4CAB"/>
    <w:rsid w:val="00BD4D6B"/>
    <w:rsid w:val="00BD560F"/>
    <w:rsid w:val="00BE0D4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45E60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2F60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  <w:rsid w:val="22B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2024-05-15T10:45:00Z</dcterms:created>
  <dcterms:modified xsi:type="dcterms:W3CDTF">2024-05-15T10:45:00Z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