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1763" w14:textId="5174E755" w:rsidR="00B413AD" w:rsidRDefault="00721100" w:rsidP="00721100">
      <w:pPr>
        <w:jc w:val="center"/>
        <w:rPr>
          <w:b/>
          <w:bCs/>
        </w:rPr>
      </w:pPr>
      <w:r w:rsidRPr="00721100">
        <w:rPr>
          <w:b/>
          <w:bCs/>
        </w:rPr>
        <w:t>Revisão para a prova</w:t>
      </w:r>
    </w:p>
    <w:p w14:paraId="29EC41AA" w14:textId="02F43D79" w:rsidR="00721100" w:rsidRDefault="00563C58" w:rsidP="00721100">
      <w:pPr>
        <w:jc w:val="both"/>
      </w:pPr>
      <w:r>
        <w:rPr>
          <w:b/>
          <w:bCs/>
        </w:rPr>
        <w:t>Tópico 1</w:t>
      </w:r>
      <w:r w:rsidR="00721100">
        <w:rPr>
          <w:b/>
          <w:bCs/>
        </w:rPr>
        <w:t xml:space="preserve"> – </w:t>
      </w:r>
      <w:r w:rsidR="00721100" w:rsidRPr="00721100">
        <w:t>compreensão textual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21100" w14:paraId="2B4662B5" w14:textId="77777777" w:rsidTr="00563C58">
        <w:tc>
          <w:tcPr>
            <w:tcW w:w="10060" w:type="dxa"/>
          </w:tcPr>
          <w:p w14:paraId="72A14967" w14:textId="0DC8A2CF" w:rsidR="00721100" w:rsidRDefault="00721100" w:rsidP="00721100">
            <w:pPr>
              <w:jc w:val="both"/>
            </w:pPr>
            <w:r>
              <w:t>Sugestão:</w:t>
            </w:r>
          </w:p>
          <w:p w14:paraId="589A1C8E" w14:textId="429B3EE1" w:rsidR="00721100" w:rsidRDefault="00721100" w:rsidP="00721100">
            <w:pPr>
              <w:jc w:val="both"/>
            </w:pPr>
            <w:r>
              <w:t xml:space="preserve">Confira as características das personagens. Foque na personagem principal e destaque possíveis comportamentos no dia a dia dela. </w:t>
            </w:r>
          </w:p>
        </w:tc>
      </w:tr>
    </w:tbl>
    <w:p w14:paraId="685C8B80" w14:textId="77777777" w:rsidR="00721100" w:rsidRDefault="00721100" w:rsidP="00721100">
      <w:pPr>
        <w:jc w:val="both"/>
        <w:rPr>
          <w:b/>
          <w:bCs/>
        </w:rPr>
      </w:pPr>
    </w:p>
    <w:p w14:paraId="7EEC26E9" w14:textId="2DCA44DD" w:rsidR="00721100" w:rsidRDefault="00563C58" w:rsidP="00721100">
      <w:pPr>
        <w:jc w:val="both"/>
        <w:rPr>
          <w:b/>
          <w:bCs/>
        </w:rPr>
      </w:pPr>
      <w:r>
        <w:rPr>
          <w:b/>
          <w:bCs/>
        </w:rPr>
        <w:t xml:space="preserve">Tópico 2 </w:t>
      </w:r>
      <w:r w:rsidR="00721100">
        <w:rPr>
          <w:b/>
          <w:bCs/>
        </w:rPr>
        <w:t>– compreensão textual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21100" w14:paraId="200ED8AC" w14:textId="77777777" w:rsidTr="00563C58">
        <w:tc>
          <w:tcPr>
            <w:tcW w:w="10060" w:type="dxa"/>
          </w:tcPr>
          <w:p w14:paraId="00562D2D" w14:textId="77777777" w:rsidR="00721100" w:rsidRDefault="00721100" w:rsidP="002318EB">
            <w:pPr>
              <w:jc w:val="both"/>
            </w:pPr>
            <w:r>
              <w:t>Sugestão:</w:t>
            </w:r>
          </w:p>
          <w:p w14:paraId="3B775D4D" w14:textId="77777777" w:rsidR="00721100" w:rsidRDefault="00721100" w:rsidP="00721100">
            <w:pPr>
              <w:jc w:val="both"/>
            </w:pPr>
            <w:r>
              <w:t xml:space="preserve">As narrativas (histórias) costumam apresentar conflitos. Analise os conflitos que cercam as personagens. </w:t>
            </w:r>
          </w:p>
          <w:p w14:paraId="46F0D457" w14:textId="5178D0FF" w:rsidR="00721100" w:rsidRDefault="00721100" w:rsidP="00721100">
            <w:pPr>
              <w:jc w:val="both"/>
            </w:pPr>
            <w:r>
              <w:t xml:space="preserve">Para isso, marque os verbos da narrativa. </w:t>
            </w:r>
          </w:p>
        </w:tc>
      </w:tr>
    </w:tbl>
    <w:p w14:paraId="342E4CFD" w14:textId="22F6AECA" w:rsidR="00721100" w:rsidRDefault="00721100" w:rsidP="00721100">
      <w:pPr>
        <w:jc w:val="both"/>
        <w:rPr>
          <w:b/>
          <w:bCs/>
        </w:rPr>
      </w:pPr>
    </w:p>
    <w:p w14:paraId="007BD133" w14:textId="22E5D2C0" w:rsidR="00721100" w:rsidRPr="007315A7" w:rsidRDefault="00563C58" w:rsidP="00721100">
      <w:pPr>
        <w:jc w:val="both"/>
      </w:pPr>
      <w:r>
        <w:rPr>
          <w:b/>
          <w:bCs/>
        </w:rPr>
        <w:t xml:space="preserve">Tópico 3 </w:t>
      </w:r>
      <w:r w:rsidR="00721100">
        <w:rPr>
          <w:b/>
          <w:bCs/>
        </w:rPr>
        <w:t xml:space="preserve">– </w:t>
      </w:r>
      <w:r w:rsidR="00721100" w:rsidRPr="007315A7">
        <w:t>compreensão / interpretação textual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315A7" w14:paraId="1678A3F4" w14:textId="77777777" w:rsidTr="00563C58">
        <w:tc>
          <w:tcPr>
            <w:tcW w:w="10060" w:type="dxa"/>
          </w:tcPr>
          <w:p w14:paraId="45462A3F" w14:textId="77777777" w:rsidR="007315A7" w:rsidRDefault="007315A7" w:rsidP="002318EB">
            <w:pPr>
              <w:jc w:val="both"/>
            </w:pPr>
            <w:r>
              <w:t>Sugestão:</w:t>
            </w:r>
          </w:p>
          <w:p w14:paraId="45C44ADC" w14:textId="6A1DA9DE" w:rsidR="007315A7" w:rsidRDefault="007315A7" w:rsidP="007315A7">
            <w:pPr>
              <w:jc w:val="both"/>
            </w:pPr>
            <w:r>
              <w:t xml:space="preserve">Analise os sentimentos das personagens. As tristezas, angústias, comportamentos em relação aos círculos sociais. </w:t>
            </w:r>
          </w:p>
        </w:tc>
      </w:tr>
    </w:tbl>
    <w:p w14:paraId="535C17A6" w14:textId="3E4F86AC" w:rsidR="00721100" w:rsidRDefault="00721100" w:rsidP="00721100">
      <w:pPr>
        <w:jc w:val="both"/>
        <w:rPr>
          <w:b/>
          <w:bCs/>
        </w:rPr>
      </w:pPr>
    </w:p>
    <w:p w14:paraId="2508C90B" w14:textId="0E53820E" w:rsidR="007315A7" w:rsidRDefault="00563C58" w:rsidP="00721100">
      <w:pPr>
        <w:jc w:val="both"/>
        <w:rPr>
          <w:b/>
          <w:bCs/>
        </w:rPr>
      </w:pPr>
      <w:r>
        <w:rPr>
          <w:b/>
          <w:bCs/>
        </w:rPr>
        <w:t>Tópico 4</w:t>
      </w:r>
      <w:r w:rsidR="007315A7">
        <w:rPr>
          <w:b/>
          <w:bCs/>
        </w:rPr>
        <w:t xml:space="preserve"> – Compreensão textual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315A7" w14:paraId="6D09CB84" w14:textId="77777777" w:rsidTr="00563C58">
        <w:tc>
          <w:tcPr>
            <w:tcW w:w="10060" w:type="dxa"/>
          </w:tcPr>
          <w:p w14:paraId="2CCA4FDC" w14:textId="77777777" w:rsidR="007315A7" w:rsidRDefault="007315A7" w:rsidP="002318EB">
            <w:pPr>
              <w:jc w:val="both"/>
            </w:pPr>
            <w:r>
              <w:t>Sugestão:</w:t>
            </w:r>
          </w:p>
          <w:p w14:paraId="3D11C044" w14:textId="2AB3ADF4" w:rsidR="007315A7" w:rsidRDefault="007315A7" w:rsidP="002318EB">
            <w:pPr>
              <w:jc w:val="both"/>
            </w:pPr>
            <w:r>
              <w:t xml:space="preserve">Analise os sentimentos das personagens. As tristezas, angústias, comportamentos em relação aos círculos sociais. </w:t>
            </w:r>
          </w:p>
        </w:tc>
      </w:tr>
    </w:tbl>
    <w:p w14:paraId="0E94F0CA" w14:textId="5F4D51EE" w:rsidR="007315A7" w:rsidRDefault="007315A7" w:rsidP="00721100">
      <w:pPr>
        <w:jc w:val="both"/>
        <w:rPr>
          <w:b/>
          <w:bCs/>
        </w:rPr>
      </w:pPr>
    </w:p>
    <w:p w14:paraId="344CFF03" w14:textId="2182D0E4" w:rsidR="007315A7" w:rsidRPr="008B0A41" w:rsidRDefault="00563C58" w:rsidP="00721100">
      <w:pPr>
        <w:jc w:val="both"/>
      </w:pPr>
      <w:r>
        <w:rPr>
          <w:b/>
          <w:bCs/>
        </w:rPr>
        <w:t>Tópico 5</w:t>
      </w:r>
      <w:r w:rsidR="007315A7">
        <w:rPr>
          <w:b/>
          <w:bCs/>
        </w:rPr>
        <w:t xml:space="preserve"> – </w:t>
      </w:r>
      <w:r w:rsidRPr="008B0A41">
        <w:t>Palavras parônimas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315A7" w14:paraId="4C805906" w14:textId="77777777" w:rsidTr="00563C58">
        <w:tc>
          <w:tcPr>
            <w:tcW w:w="10060" w:type="dxa"/>
          </w:tcPr>
          <w:p w14:paraId="33660E39" w14:textId="009DB29B" w:rsidR="007315A7" w:rsidRDefault="007315A7" w:rsidP="00721100">
            <w:pPr>
              <w:jc w:val="both"/>
              <w:rPr>
                <w:b/>
                <w:bCs/>
              </w:rPr>
            </w:pPr>
          </w:p>
          <w:p w14:paraId="3CD98DBF" w14:textId="1D2DAB87" w:rsidR="007315A7" w:rsidRDefault="007315A7" w:rsidP="00721100">
            <w:pPr>
              <w:jc w:val="both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>P</w:t>
            </w:r>
            <w:r w:rsidRPr="007315A7">
              <w:rPr>
                <w:b/>
                <w:bCs/>
                <w:highlight w:val="yellow"/>
              </w:rPr>
              <w:t>alavras PARÔNIMAS</w:t>
            </w:r>
          </w:p>
          <w:p w14:paraId="4105C343" w14:textId="77777777" w:rsidR="007315A7" w:rsidRDefault="007315A7" w:rsidP="00721100">
            <w:pPr>
              <w:jc w:val="both"/>
              <w:rPr>
                <w:b/>
                <w:bCs/>
              </w:rPr>
            </w:pPr>
          </w:p>
          <w:p w14:paraId="2A1C6340" w14:textId="77777777" w:rsidR="007315A7" w:rsidRPr="007315A7" w:rsidRDefault="007315A7" w:rsidP="007315A7">
            <w:pPr>
              <w:jc w:val="both"/>
            </w:pPr>
            <w:r w:rsidRPr="007315A7">
              <w:t>As palavras parônimas são muito parecidas na pronúncia e na escrita, entretanto, possuem significados diferentes.</w:t>
            </w:r>
          </w:p>
          <w:p w14:paraId="0DBA2090" w14:textId="77777777" w:rsidR="007315A7" w:rsidRDefault="007315A7" w:rsidP="007315A7">
            <w:pPr>
              <w:jc w:val="both"/>
              <w:rPr>
                <w:b/>
                <w:bCs/>
              </w:rPr>
            </w:pPr>
          </w:p>
          <w:p w14:paraId="1E185476" w14:textId="40440D2C" w:rsidR="007315A7" w:rsidRPr="007315A7" w:rsidRDefault="007315A7" w:rsidP="007315A7">
            <w:pPr>
              <w:jc w:val="both"/>
              <w:rPr>
                <w:b/>
                <w:bCs/>
              </w:rPr>
            </w:pPr>
            <w:r w:rsidRPr="007315A7">
              <w:rPr>
                <w:b/>
                <w:bCs/>
              </w:rPr>
              <w:t>Exemplos de palavras parônimas:</w:t>
            </w:r>
          </w:p>
          <w:p w14:paraId="266CEDEA" w14:textId="77777777" w:rsidR="007315A7" w:rsidRPr="007315A7" w:rsidRDefault="007315A7" w:rsidP="007315A7">
            <w:pPr>
              <w:numPr>
                <w:ilvl w:val="0"/>
                <w:numId w:val="3"/>
              </w:numPr>
              <w:jc w:val="both"/>
            </w:pPr>
            <w:r w:rsidRPr="007315A7">
              <w:t>Absolver (perdoar) e absorver (aspirar)</w:t>
            </w:r>
          </w:p>
          <w:p w14:paraId="51D73959" w14:textId="586896B6" w:rsidR="00563C58" w:rsidRPr="007315A7" w:rsidRDefault="007315A7" w:rsidP="002318EB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7315A7">
              <w:t>Apóstrofe (figura de linguagem) e apóstrofo (sinal gráfico)</w:t>
            </w:r>
          </w:p>
          <w:p w14:paraId="2E701D21" w14:textId="77283F3F" w:rsidR="00563C58" w:rsidRPr="007315A7" w:rsidRDefault="00563C58" w:rsidP="00563C58">
            <w:pPr>
              <w:numPr>
                <w:ilvl w:val="0"/>
                <w:numId w:val="2"/>
              </w:numPr>
              <w:jc w:val="both"/>
            </w:pPr>
            <w:r w:rsidRPr="007315A7">
              <w:t>Apreçar: (verificar preço) e apressar (acelerar).</w:t>
            </w:r>
          </w:p>
          <w:p w14:paraId="7CD426EC" w14:textId="77777777" w:rsidR="007315A7" w:rsidRPr="007315A7" w:rsidRDefault="007315A7" w:rsidP="007315A7">
            <w:pPr>
              <w:numPr>
                <w:ilvl w:val="0"/>
                <w:numId w:val="3"/>
              </w:numPr>
              <w:jc w:val="both"/>
            </w:pPr>
            <w:r w:rsidRPr="007315A7">
              <w:t>Aprender (tomar conhecimento) e apreender (capturar)</w:t>
            </w:r>
          </w:p>
          <w:p w14:paraId="71E61FCC" w14:textId="77777777" w:rsidR="007315A7" w:rsidRPr="007315A7" w:rsidRDefault="007315A7" w:rsidP="007315A7">
            <w:pPr>
              <w:numPr>
                <w:ilvl w:val="0"/>
                <w:numId w:val="3"/>
              </w:numPr>
              <w:jc w:val="both"/>
            </w:pPr>
            <w:r w:rsidRPr="007315A7">
              <w:t>Cavaleiro (que cavalga) e cavalheiro (homem gentil)</w:t>
            </w:r>
          </w:p>
          <w:p w14:paraId="245EBCE3" w14:textId="77777777" w:rsidR="007315A7" w:rsidRPr="007315A7" w:rsidRDefault="007315A7" w:rsidP="007315A7">
            <w:pPr>
              <w:numPr>
                <w:ilvl w:val="0"/>
                <w:numId w:val="3"/>
              </w:numPr>
              <w:jc w:val="both"/>
            </w:pPr>
            <w:r w:rsidRPr="007315A7">
              <w:t>Comprimento (extensão) e cumprimento (saudação)</w:t>
            </w:r>
          </w:p>
          <w:p w14:paraId="618119F8" w14:textId="77777777" w:rsidR="007315A7" w:rsidRPr="007315A7" w:rsidRDefault="007315A7" w:rsidP="007315A7">
            <w:pPr>
              <w:numPr>
                <w:ilvl w:val="0"/>
                <w:numId w:val="3"/>
              </w:numPr>
              <w:jc w:val="both"/>
            </w:pPr>
            <w:r w:rsidRPr="007315A7">
              <w:t>Coro (música) e couro (pele animal)</w:t>
            </w:r>
          </w:p>
          <w:p w14:paraId="30CE2034" w14:textId="77777777" w:rsidR="007315A7" w:rsidRPr="007315A7" w:rsidRDefault="007315A7" w:rsidP="007315A7">
            <w:pPr>
              <w:numPr>
                <w:ilvl w:val="0"/>
                <w:numId w:val="3"/>
              </w:numPr>
              <w:jc w:val="both"/>
            </w:pPr>
            <w:r w:rsidRPr="007315A7">
              <w:t xml:space="preserve">Delatar (denunciar) </w:t>
            </w:r>
            <w:proofErr w:type="gramStart"/>
            <w:r w:rsidRPr="007315A7">
              <w:t>e Dilatar</w:t>
            </w:r>
            <w:proofErr w:type="gramEnd"/>
            <w:r w:rsidRPr="007315A7">
              <w:t xml:space="preserve"> (alargar)</w:t>
            </w:r>
          </w:p>
          <w:p w14:paraId="6EB62DF3" w14:textId="77777777" w:rsidR="007315A7" w:rsidRPr="007315A7" w:rsidRDefault="007315A7" w:rsidP="007315A7">
            <w:pPr>
              <w:numPr>
                <w:ilvl w:val="0"/>
                <w:numId w:val="3"/>
              </w:numPr>
              <w:jc w:val="both"/>
            </w:pPr>
            <w:r w:rsidRPr="007315A7">
              <w:t>Descrição (ato de descrever) e discrição (prudência)</w:t>
            </w:r>
          </w:p>
          <w:p w14:paraId="5E0DB2EB" w14:textId="77777777" w:rsidR="007315A7" w:rsidRPr="007315A7" w:rsidRDefault="007315A7" w:rsidP="007315A7">
            <w:pPr>
              <w:numPr>
                <w:ilvl w:val="0"/>
                <w:numId w:val="3"/>
              </w:numPr>
              <w:jc w:val="both"/>
            </w:pPr>
            <w:r w:rsidRPr="007315A7">
              <w:t>Despensa (local onde se guardam alimentos) e dispensa (ato de dispensar)</w:t>
            </w:r>
          </w:p>
          <w:p w14:paraId="4E95D416" w14:textId="7E91A6E4" w:rsidR="007315A7" w:rsidRDefault="007315A7" w:rsidP="007315A7">
            <w:pPr>
              <w:numPr>
                <w:ilvl w:val="0"/>
                <w:numId w:val="3"/>
              </w:numPr>
              <w:jc w:val="both"/>
            </w:pPr>
            <w:r w:rsidRPr="007315A7">
              <w:t>Docente (relativo a professores) e discente (relativo a alunos)</w:t>
            </w:r>
          </w:p>
          <w:p w14:paraId="34BC6447" w14:textId="7E5BDEC8" w:rsidR="00563C58" w:rsidRPr="007315A7" w:rsidRDefault="00563C58" w:rsidP="00563C58">
            <w:pPr>
              <w:numPr>
                <w:ilvl w:val="0"/>
                <w:numId w:val="2"/>
              </w:numPr>
              <w:jc w:val="both"/>
            </w:pPr>
            <w:r w:rsidRPr="007315A7">
              <w:t>Emergir: (vir à tona) e imergir (mergulhar).</w:t>
            </w:r>
          </w:p>
          <w:p w14:paraId="64F62D5A" w14:textId="77777777" w:rsidR="007315A7" w:rsidRPr="007315A7" w:rsidRDefault="007315A7" w:rsidP="007315A7">
            <w:pPr>
              <w:numPr>
                <w:ilvl w:val="0"/>
                <w:numId w:val="3"/>
              </w:numPr>
              <w:jc w:val="both"/>
            </w:pPr>
            <w:r w:rsidRPr="007315A7">
              <w:t>Emigrar (deixar um país) e imigrar (entrar num país)</w:t>
            </w:r>
          </w:p>
          <w:p w14:paraId="5336BBF9" w14:textId="77777777" w:rsidR="007315A7" w:rsidRPr="007315A7" w:rsidRDefault="007315A7" w:rsidP="007315A7">
            <w:pPr>
              <w:numPr>
                <w:ilvl w:val="0"/>
                <w:numId w:val="3"/>
              </w:numPr>
              <w:jc w:val="both"/>
            </w:pPr>
            <w:r w:rsidRPr="007315A7">
              <w:t>Eminente (elevado) e iminente (prestes a ocorrer)</w:t>
            </w:r>
          </w:p>
          <w:p w14:paraId="75D616F8" w14:textId="77777777" w:rsidR="007315A7" w:rsidRPr="007315A7" w:rsidRDefault="007315A7" w:rsidP="007315A7">
            <w:pPr>
              <w:numPr>
                <w:ilvl w:val="0"/>
                <w:numId w:val="3"/>
              </w:numPr>
              <w:jc w:val="both"/>
            </w:pPr>
            <w:r w:rsidRPr="007315A7">
              <w:t>Flagrante (evidente) e fragrante (perfumado)</w:t>
            </w:r>
          </w:p>
          <w:p w14:paraId="313C2E4B" w14:textId="77777777" w:rsidR="007315A7" w:rsidRPr="007315A7" w:rsidRDefault="007315A7" w:rsidP="007315A7">
            <w:pPr>
              <w:numPr>
                <w:ilvl w:val="0"/>
                <w:numId w:val="3"/>
              </w:numPr>
              <w:jc w:val="both"/>
            </w:pPr>
            <w:r w:rsidRPr="007315A7">
              <w:t>Fluir (transcorrer, decorrer) e fruir (desfrutar)</w:t>
            </w:r>
          </w:p>
          <w:p w14:paraId="6CC8B302" w14:textId="257EA47B" w:rsidR="007315A7" w:rsidRDefault="007315A7" w:rsidP="007315A7">
            <w:pPr>
              <w:numPr>
                <w:ilvl w:val="0"/>
                <w:numId w:val="3"/>
              </w:numPr>
              <w:jc w:val="both"/>
            </w:pPr>
            <w:r w:rsidRPr="007315A7">
              <w:t>Imergir (afundar) e emergir (vir à tona)</w:t>
            </w:r>
          </w:p>
          <w:p w14:paraId="0FD63D64" w14:textId="77777777" w:rsidR="00563C58" w:rsidRPr="00563C58" w:rsidRDefault="00563C58" w:rsidP="00563C58">
            <w:pPr>
              <w:numPr>
                <w:ilvl w:val="0"/>
                <w:numId w:val="2"/>
              </w:numPr>
              <w:jc w:val="both"/>
            </w:pPr>
            <w:r w:rsidRPr="007315A7">
              <w:t>Iminente: (que está prestes a acontecer) e eminente (ilustre).</w:t>
            </w:r>
          </w:p>
          <w:p w14:paraId="6A8843AB" w14:textId="77777777" w:rsidR="007315A7" w:rsidRPr="007315A7" w:rsidRDefault="007315A7" w:rsidP="007315A7">
            <w:pPr>
              <w:numPr>
                <w:ilvl w:val="0"/>
                <w:numId w:val="3"/>
              </w:numPr>
              <w:jc w:val="both"/>
            </w:pPr>
            <w:r w:rsidRPr="007315A7">
              <w:t>Inflação (alta dos preços) e infração (violação)</w:t>
            </w:r>
          </w:p>
          <w:p w14:paraId="0898DF5A" w14:textId="77777777" w:rsidR="007315A7" w:rsidRPr="007315A7" w:rsidRDefault="007315A7" w:rsidP="007315A7">
            <w:pPr>
              <w:numPr>
                <w:ilvl w:val="0"/>
                <w:numId w:val="3"/>
              </w:numPr>
              <w:jc w:val="both"/>
            </w:pPr>
            <w:r w:rsidRPr="007315A7">
              <w:t>Infligir (aplicar pena) e infringir (violar)</w:t>
            </w:r>
          </w:p>
          <w:p w14:paraId="6BBD2635" w14:textId="77777777" w:rsidR="007315A7" w:rsidRPr="007315A7" w:rsidRDefault="007315A7" w:rsidP="007315A7">
            <w:pPr>
              <w:numPr>
                <w:ilvl w:val="0"/>
                <w:numId w:val="3"/>
              </w:numPr>
              <w:jc w:val="both"/>
            </w:pPr>
            <w:r w:rsidRPr="007315A7">
              <w:t>Mandado (ordem judicial) e mandato (procuração)</w:t>
            </w:r>
          </w:p>
          <w:p w14:paraId="526FA707" w14:textId="77777777" w:rsidR="007315A7" w:rsidRPr="007315A7" w:rsidRDefault="007315A7" w:rsidP="007315A7">
            <w:pPr>
              <w:numPr>
                <w:ilvl w:val="0"/>
                <w:numId w:val="3"/>
              </w:numPr>
              <w:jc w:val="both"/>
            </w:pPr>
            <w:r w:rsidRPr="007315A7">
              <w:lastRenderedPageBreak/>
              <w:t>Osso (parte do corpo) e ouço (verbo ouvir)</w:t>
            </w:r>
          </w:p>
          <w:p w14:paraId="2067A76A" w14:textId="77777777" w:rsidR="007315A7" w:rsidRPr="007315A7" w:rsidRDefault="007315A7" w:rsidP="007315A7">
            <w:pPr>
              <w:numPr>
                <w:ilvl w:val="0"/>
                <w:numId w:val="3"/>
              </w:numPr>
              <w:jc w:val="both"/>
            </w:pPr>
            <w:proofErr w:type="gramStart"/>
            <w:r w:rsidRPr="007315A7">
              <w:t>Peão</w:t>
            </w:r>
            <w:proofErr w:type="gramEnd"/>
            <w:r w:rsidRPr="007315A7">
              <w:t xml:space="preserve"> (aquele que anda a pé, domador de cavalos) e pião (brinquedo)</w:t>
            </w:r>
          </w:p>
          <w:p w14:paraId="438E4840" w14:textId="77777777" w:rsidR="007315A7" w:rsidRPr="007315A7" w:rsidRDefault="007315A7" w:rsidP="007315A7">
            <w:pPr>
              <w:numPr>
                <w:ilvl w:val="0"/>
                <w:numId w:val="3"/>
              </w:numPr>
              <w:jc w:val="both"/>
            </w:pPr>
            <w:r w:rsidRPr="007315A7">
              <w:t>Precedente (que vem antes) e procedente (proveniente de; que possui fundamento)</w:t>
            </w:r>
          </w:p>
          <w:p w14:paraId="4476A8AD" w14:textId="77777777" w:rsidR="007315A7" w:rsidRPr="007315A7" w:rsidRDefault="007315A7" w:rsidP="007315A7">
            <w:pPr>
              <w:numPr>
                <w:ilvl w:val="0"/>
                <w:numId w:val="3"/>
              </w:numPr>
              <w:jc w:val="both"/>
            </w:pPr>
            <w:r w:rsidRPr="007315A7">
              <w:t>Ratificar (confirmar) e retificar (corrigir)</w:t>
            </w:r>
          </w:p>
          <w:p w14:paraId="1731BE21" w14:textId="77777777" w:rsidR="007315A7" w:rsidRPr="007315A7" w:rsidRDefault="007315A7" w:rsidP="007315A7">
            <w:pPr>
              <w:numPr>
                <w:ilvl w:val="0"/>
                <w:numId w:val="3"/>
              </w:numPr>
              <w:jc w:val="both"/>
            </w:pPr>
            <w:r w:rsidRPr="007315A7">
              <w:t>Recrear (divertir) e recriar (criar novamente)</w:t>
            </w:r>
          </w:p>
          <w:p w14:paraId="6A57C430" w14:textId="77777777" w:rsidR="007315A7" w:rsidRPr="007315A7" w:rsidRDefault="007315A7" w:rsidP="007315A7">
            <w:pPr>
              <w:numPr>
                <w:ilvl w:val="0"/>
                <w:numId w:val="3"/>
              </w:numPr>
              <w:jc w:val="both"/>
            </w:pPr>
            <w:r w:rsidRPr="007315A7">
              <w:t>Tráfego (trânsito) e tráfico (comércio ilegal)</w:t>
            </w:r>
          </w:p>
          <w:p w14:paraId="440E5B3A" w14:textId="1BAAC64E" w:rsidR="007315A7" w:rsidRDefault="007315A7" w:rsidP="007315A7">
            <w:pPr>
              <w:numPr>
                <w:ilvl w:val="0"/>
                <w:numId w:val="3"/>
              </w:numPr>
              <w:jc w:val="both"/>
            </w:pPr>
            <w:r w:rsidRPr="007315A7">
              <w:t>Soar (produzir som) e suar (transpirar)</w:t>
            </w:r>
          </w:p>
          <w:p w14:paraId="018656C3" w14:textId="19BB21B4" w:rsidR="00563C58" w:rsidRDefault="00563C58" w:rsidP="00563C58">
            <w:pPr>
              <w:jc w:val="both"/>
            </w:pPr>
          </w:p>
          <w:p w14:paraId="3B08A5F9" w14:textId="3CF61345" w:rsidR="00563C58" w:rsidRPr="00563C58" w:rsidRDefault="00563C58" w:rsidP="00563C58">
            <w:pPr>
              <w:jc w:val="both"/>
              <w:rPr>
                <w:b/>
                <w:bCs/>
              </w:rPr>
            </w:pPr>
            <w:r w:rsidRPr="00563C58">
              <w:rPr>
                <w:b/>
                <w:bCs/>
                <w:highlight w:val="yellow"/>
              </w:rPr>
              <w:t>Praticando</w:t>
            </w:r>
            <w:r w:rsidRPr="00563C58">
              <w:rPr>
                <w:b/>
                <w:bCs/>
              </w:rPr>
              <w:t xml:space="preserve"> </w:t>
            </w:r>
          </w:p>
          <w:p w14:paraId="474E05D9" w14:textId="17433020" w:rsidR="00563C58" w:rsidRDefault="00563C58" w:rsidP="00563C58">
            <w:pPr>
              <w:jc w:val="both"/>
            </w:pPr>
          </w:p>
          <w:p w14:paraId="5B75748B" w14:textId="214AF7DD" w:rsidR="00563C58" w:rsidRPr="00563C58" w:rsidRDefault="00563C58" w:rsidP="00563C58">
            <w:pPr>
              <w:jc w:val="both"/>
            </w:pPr>
            <w:r>
              <w:t xml:space="preserve">1. </w:t>
            </w:r>
            <w:r w:rsidRPr="00563C58">
              <w:t xml:space="preserve">A palavra </w:t>
            </w:r>
            <w:r w:rsidRPr="00563C58">
              <w:rPr>
                <w:color w:val="FF0000"/>
              </w:rPr>
              <w:t>mandado</w:t>
            </w:r>
            <w:r w:rsidRPr="00563C58">
              <w:t xml:space="preserve"> não pode ser confundida com </w:t>
            </w:r>
            <w:r w:rsidRPr="00563C58">
              <w:rPr>
                <w:color w:val="FF0000"/>
              </w:rPr>
              <w:t>mandato</w:t>
            </w:r>
            <w:r w:rsidRPr="00563C58">
              <w:t>, seu parônimo. Nesse sentido, quais palavras estabelecem entre si uma relação de homonímia e não de paronímia?</w:t>
            </w:r>
          </w:p>
          <w:p w14:paraId="4404F10E" w14:textId="77777777" w:rsidR="00563C58" w:rsidRPr="00563C58" w:rsidRDefault="00563C58" w:rsidP="00563C58">
            <w:pPr>
              <w:jc w:val="both"/>
            </w:pPr>
            <w:r w:rsidRPr="00563C58">
              <w:t>A) Preposição e proposição</w:t>
            </w:r>
          </w:p>
          <w:p w14:paraId="0CA089E5" w14:textId="77777777" w:rsidR="00563C58" w:rsidRPr="00563C58" w:rsidRDefault="00563C58" w:rsidP="00563C58">
            <w:pPr>
              <w:jc w:val="both"/>
            </w:pPr>
            <w:r w:rsidRPr="00563C58">
              <w:t>B) Eminente e iminente</w:t>
            </w:r>
          </w:p>
          <w:p w14:paraId="05D6C793" w14:textId="77777777" w:rsidR="00563C58" w:rsidRPr="00563C58" w:rsidRDefault="00563C58" w:rsidP="00563C58">
            <w:pPr>
              <w:jc w:val="both"/>
            </w:pPr>
            <w:r w:rsidRPr="00563C58">
              <w:t>C) Despensa e dispensa</w:t>
            </w:r>
          </w:p>
          <w:p w14:paraId="1BB2FA6B" w14:textId="77777777" w:rsidR="00563C58" w:rsidRPr="00563C58" w:rsidRDefault="00563C58" w:rsidP="00563C58">
            <w:pPr>
              <w:jc w:val="both"/>
            </w:pPr>
            <w:r w:rsidRPr="00563C58">
              <w:rPr>
                <w:highlight w:val="yellow"/>
              </w:rPr>
              <w:t>D) Acender e ascender</w:t>
            </w:r>
          </w:p>
          <w:p w14:paraId="0799EA62" w14:textId="693F1914" w:rsidR="00563C58" w:rsidRDefault="00563C58" w:rsidP="00563C58">
            <w:pPr>
              <w:jc w:val="both"/>
            </w:pPr>
          </w:p>
          <w:p w14:paraId="34B204CF" w14:textId="5437E2F6" w:rsidR="00FE29CA" w:rsidRPr="007315A7" w:rsidRDefault="00FE29CA" w:rsidP="00563C58">
            <w:pPr>
              <w:jc w:val="both"/>
              <w:rPr>
                <w:b/>
                <w:bCs/>
                <w:color w:val="FF0000"/>
              </w:rPr>
            </w:pPr>
            <w:r w:rsidRPr="00FE29CA">
              <w:rPr>
                <w:b/>
                <w:bCs/>
                <w:color w:val="FF0000"/>
              </w:rPr>
              <w:t xml:space="preserve">Os pares “acender” e “ascender” têm o mesmo som, portanto, não podem ser </w:t>
            </w:r>
            <w:r w:rsidRPr="00FE29CA">
              <w:rPr>
                <w:b/>
                <w:bCs/>
                <w:color w:val="000000" w:themeColor="text1"/>
              </w:rPr>
              <w:t>parônimos</w:t>
            </w:r>
            <w:r w:rsidRPr="00FE29CA">
              <w:rPr>
                <w:b/>
                <w:bCs/>
                <w:color w:val="FF0000"/>
              </w:rPr>
              <w:t xml:space="preserve">, e sim </w:t>
            </w:r>
            <w:r w:rsidRPr="00FE29CA">
              <w:rPr>
                <w:b/>
                <w:bCs/>
                <w:color w:val="000000" w:themeColor="text1"/>
              </w:rPr>
              <w:t>homônimos</w:t>
            </w:r>
            <w:r w:rsidRPr="00FE29CA">
              <w:rPr>
                <w:b/>
                <w:bCs/>
                <w:color w:val="FF0000"/>
              </w:rPr>
              <w:t>, ou seja, palavras com a mesma estrutura (no caso, por ser o mesmo som, elas são mais especificamente homônimas homófonas).</w:t>
            </w:r>
          </w:p>
          <w:p w14:paraId="15CB5140" w14:textId="77777777" w:rsidR="00FE29CA" w:rsidRDefault="00FE29CA" w:rsidP="00FE29CA">
            <w:pPr>
              <w:jc w:val="both"/>
              <w:rPr>
                <w:b/>
                <w:bCs/>
              </w:rPr>
            </w:pPr>
          </w:p>
          <w:p w14:paraId="436E6B05" w14:textId="54097C34" w:rsidR="00FE29CA" w:rsidRPr="00FE29CA" w:rsidRDefault="00FE29CA" w:rsidP="00FE29CA">
            <w:pPr>
              <w:jc w:val="both"/>
            </w:pPr>
            <w:r w:rsidRPr="00FE29CA">
              <w:t>2. A palavra “eminente”, presente no enunciado “O eminente ministro renunciou ao cargo” não deve ser confundida com “iminente”, seu parônimo. Em que item a seguir o par de vocábulos é exemplo de parônimo?</w:t>
            </w:r>
          </w:p>
          <w:p w14:paraId="7E0C6F49" w14:textId="77777777" w:rsidR="00FE29CA" w:rsidRPr="00FE29CA" w:rsidRDefault="00FE29CA" w:rsidP="00FE29CA">
            <w:pPr>
              <w:jc w:val="both"/>
            </w:pPr>
            <w:r w:rsidRPr="00FE29CA">
              <w:t>A) coser / cozer</w:t>
            </w:r>
          </w:p>
          <w:p w14:paraId="3E1646DF" w14:textId="77777777" w:rsidR="00FE29CA" w:rsidRPr="00FE29CA" w:rsidRDefault="00FE29CA" w:rsidP="00FE29CA">
            <w:pPr>
              <w:jc w:val="both"/>
            </w:pPr>
            <w:r w:rsidRPr="00FE29CA">
              <w:rPr>
                <w:highlight w:val="yellow"/>
              </w:rPr>
              <w:t>B) ratificar / retificar</w:t>
            </w:r>
          </w:p>
          <w:p w14:paraId="77A99C85" w14:textId="77777777" w:rsidR="00FE29CA" w:rsidRPr="00FE29CA" w:rsidRDefault="00FE29CA" w:rsidP="00FE29CA">
            <w:pPr>
              <w:jc w:val="both"/>
            </w:pPr>
            <w:r w:rsidRPr="00FE29CA">
              <w:t>C) insipiente / incipiente</w:t>
            </w:r>
          </w:p>
          <w:p w14:paraId="40E68D68" w14:textId="77777777" w:rsidR="00FE29CA" w:rsidRPr="00FE29CA" w:rsidRDefault="00FE29CA" w:rsidP="00FE29CA">
            <w:pPr>
              <w:jc w:val="both"/>
            </w:pPr>
            <w:r w:rsidRPr="00FE29CA">
              <w:t>D) seção / sessão</w:t>
            </w:r>
          </w:p>
          <w:p w14:paraId="67CBA89E" w14:textId="0AEEB155" w:rsidR="00FE29CA" w:rsidRDefault="00FE29CA" w:rsidP="00FE29CA">
            <w:pPr>
              <w:jc w:val="both"/>
            </w:pPr>
            <w:r w:rsidRPr="00FE29CA">
              <w:t>E) taxar / tachar</w:t>
            </w:r>
          </w:p>
          <w:p w14:paraId="0215C693" w14:textId="186FADD3" w:rsidR="00FE29CA" w:rsidRDefault="00FE29CA" w:rsidP="00FE29CA">
            <w:pPr>
              <w:jc w:val="both"/>
            </w:pPr>
          </w:p>
          <w:p w14:paraId="0F6C48E1" w14:textId="691C6200" w:rsidR="00FE29CA" w:rsidRPr="00FE29CA" w:rsidRDefault="00FE29CA" w:rsidP="00FE29CA">
            <w:pPr>
              <w:jc w:val="both"/>
              <w:rPr>
                <w:b/>
                <w:bCs/>
                <w:color w:val="FF0000"/>
              </w:rPr>
            </w:pPr>
            <w:r w:rsidRPr="00FE29CA">
              <w:rPr>
                <w:b/>
                <w:bCs/>
                <w:color w:val="FF0000"/>
              </w:rPr>
              <w:t>Alternativa B. As palavras “ratificar” e “retificar” são parônimas por terem som e grafia semelhantes, mas significados distintos. Os pares de palavras nas demais alternativas não são parônimos, e sim homófonos (têm o mesmo som, mas escrita e significados diferentes).</w:t>
            </w:r>
          </w:p>
          <w:p w14:paraId="0EE6EF8B" w14:textId="59E3DE12" w:rsidR="00FE29CA" w:rsidRDefault="00FE29CA" w:rsidP="00FE29CA">
            <w:pPr>
              <w:jc w:val="both"/>
              <w:rPr>
                <w:b/>
                <w:bCs/>
              </w:rPr>
            </w:pPr>
          </w:p>
        </w:tc>
      </w:tr>
    </w:tbl>
    <w:p w14:paraId="2B0B1FE4" w14:textId="0977D985" w:rsidR="007315A7" w:rsidRDefault="007315A7" w:rsidP="00721100">
      <w:pPr>
        <w:jc w:val="both"/>
        <w:rPr>
          <w:b/>
          <w:bCs/>
        </w:rPr>
      </w:pPr>
    </w:p>
    <w:p w14:paraId="13C76BA5" w14:textId="3F78D979" w:rsidR="008B0A41" w:rsidRDefault="008B0A41" w:rsidP="00721100">
      <w:pPr>
        <w:jc w:val="both"/>
      </w:pPr>
      <w:r>
        <w:rPr>
          <w:b/>
          <w:bCs/>
        </w:rPr>
        <w:t xml:space="preserve">Tópico 6 – </w:t>
      </w:r>
      <w:r w:rsidRPr="008B0A41">
        <w:t xml:space="preserve">Uso do Onde </w:t>
      </w:r>
      <w:proofErr w:type="gramStart"/>
      <w:r w:rsidRPr="008B0A41">
        <w:t>x Aonde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B0A41" w14:paraId="49CA2674" w14:textId="77777777" w:rsidTr="008B0A41">
        <w:tc>
          <w:tcPr>
            <w:tcW w:w="10456" w:type="dxa"/>
          </w:tcPr>
          <w:p w14:paraId="4C8436E3" w14:textId="77777777" w:rsidR="008B0A41" w:rsidRDefault="008B0A41" w:rsidP="008B0A41">
            <w:pPr>
              <w:jc w:val="both"/>
              <w:rPr>
                <w:b/>
                <w:bCs/>
              </w:rPr>
            </w:pPr>
          </w:p>
          <w:p w14:paraId="7AED9C0D" w14:textId="076C527C" w:rsidR="008B0A41" w:rsidRPr="008B0A41" w:rsidRDefault="008B0A41" w:rsidP="008B0A41">
            <w:pPr>
              <w:jc w:val="both"/>
            </w:pPr>
            <w:r w:rsidRPr="008B0A41">
              <w:rPr>
                <w:b/>
                <w:bCs/>
              </w:rPr>
              <w:t xml:space="preserve">Onde </w:t>
            </w:r>
            <w:r w:rsidRPr="008B0A41">
              <w:t>e</w:t>
            </w:r>
            <w:r w:rsidRPr="008B0A41">
              <w:rPr>
                <w:b/>
                <w:bCs/>
              </w:rPr>
              <w:t xml:space="preserve"> Aonde </w:t>
            </w:r>
            <w:r w:rsidRPr="008B0A41">
              <w:t xml:space="preserve">são palavras que indicam lugar, mas que são usados em situações diferentes. Assim, há dúvidas quanto ao seu emprego, as quais você não terá mais depois de ler </w:t>
            </w:r>
            <w:r w:rsidR="002318EB">
              <w:t>os exemplos abaixo</w:t>
            </w:r>
            <w:r w:rsidRPr="008B0A41">
              <w:t>.</w:t>
            </w:r>
          </w:p>
          <w:p w14:paraId="08888F58" w14:textId="77777777" w:rsidR="008B0A41" w:rsidRPr="008B0A41" w:rsidRDefault="008B0A41" w:rsidP="008B0A41">
            <w:pPr>
              <w:jc w:val="both"/>
            </w:pPr>
          </w:p>
          <w:p w14:paraId="79EFD6BE" w14:textId="77777777" w:rsidR="008B0A41" w:rsidRPr="008B0A41" w:rsidRDefault="008B0A41" w:rsidP="008B0A41">
            <w:pPr>
              <w:jc w:val="both"/>
              <w:rPr>
                <w:b/>
                <w:bCs/>
              </w:rPr>
            </w:pPr>
            <w:r w:rsidRPr="008B0A41">
              <w:rPr>
                <w:b/>
                <w:bCs/>
              </w:rPr>
              <w:t>Diferença entre onde e aonde</w:t>
            </w:r>
          </w:p>
          <w:p w14:paraId="169DBE19" w14:textId="77777777" w:rsidR="008B0A41" w:rsidRPr="008B0A41" w:rsidRDefault="008B0A41" w:rsidP="008B0A41">
            <w:pPr>
              <w:jc w:val="both"/>
              <w:rPr>
                <w:b/>
                <w:bCs/>
              </w:rPr>
            </w:pPr>
          </w:p>
          <w:p w14:paraId="3C927C61" w14:textId="77777777" w:rsidR="008B0A41" w:rsidRPr="002318EB" w:rsidRDefault="008B0A41" w:rsidP="002318EB">
            <w:pPr>
              <w:pStyle w:val="PargrafodaLista"/>
              <w:numPr>
                <w:ilvl w:val="0"/>
                <w:numId w:val="4"/>
              </w:numPr>
              <w:jc w:val="both"/>
              <w:rPr>
                <w:b/>
                <w:bCs/>
              </w:rPr>
            </w:pPr>
            <w:r w:rsidRPr="002318EB">
              <w:rPr>
                <w:b/>
                <w:bCs/>
              </w:rPr>
              <w:t xml:space="preserve">Onde = </w:t>
            </w:r>
            <w:r w:rsidRPr="002318EB">
              <w:t>ideia de permanência</w:t>
            </w:r>
          </w:p>
          <w:p w14:paraId="7A7981F2" w14:textId="5ABA7C87" w:rsidR="008B0A41" w:rsidRPr="002318EB" w:rsidRDefault="008B0A41" w:rsidP="002318EB">
            <w:pPr>
              <w:pStyle w:val="PargrafodaLista"/>
              <w:numPr>
                <w:ilvl w:val="0"/>
                <w:numId w:val="4"/>
              </w:numPr>
              <w:jc w:val="both"/>
              <w:rPr>
                <w:b/>
                <w:bCs/>
              </w:rPr>
            </w:pPr>
            <w:r w:rsidRPr="002318EB">
              <w:rPr>
                <w:b/>
                <w:bCs/>
              </w:rPr>
              <w:t xml:space="preserve">Aonde = </w:t>
            </w:r>
            <w:r w:rsidRPr="002318EB">
              <w:t>ideia de movimento</w:t>
            </w:r>
          </w:p>
          <w:p w14:paraId="6722BF8B" w14:textId="77777777" w:rsidR="008B0A41" w:rsidRDefault="008B0A41" w:rsidP="008B0A41">
            <w:pPr>
              <w:jc w:val="both"/>
              <w:rPr>
                <w:b/>
                <w:bCs/>
              </w:rPr>
            </w:pPr>
          </w:p>
          <w:p w14:paraId="1E10FD33" w14:textId="227B16B4" w:rsidR="008B0A41" w:rsidRPr="008B0A41" w:rsidRDefault="008B0A41" w:rsidP="008B0A4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8B0A41">
              <w:rPr>
                <w:b/>
                <w:bCs/>
              </w:rPr>
              <w:t xml:space="preserve">Complete as sentenças com </w:t>
            </w:r>
            <w:r w:rsidRPr="008B0A41">
              <w:rPr>
                <w:b/>
                <w:bCs/>
                <w:highlight w:val="yellow"/>
              </w:rPr>
              <w:t>onde</w:t>
            </w:r>
            <w:r w:rsidRPr="008B0A41">
              <w:rPr>
                <w:b/>
                <w:bCs/>
              </w:rPr>
              <w:t xml:space="preserve"> e </w:t>
            </w:r>
            <w:r w:rsidRPr="008B0A41">
              <w:rPr>
                <w:b/>
                <w:bCs/>
                <w:highlight w:val="yellow"/>
              </w:rPr>
              <w:t>aonde</w:t>
            </w:r>
            <w:r w:rsidRPr="008B0A41">
              <w:rPr>
                <w:b/>
                <w:bCs/>
              </w:rPr>
              <w:t>:</w:t>
            </w:r>
          </w:p>
          <w:p w14:paraId="0CCE5649" w14:textId="77777777" w:rsidR="008B0A41" w:rsidRPr="008B0A41" w:rsidRDefault="008B0A41" w:rsidP="008B0A41">
            <w:pPr>
              <w:jc w:val="both"/>
              <w:rPr>
                <w:b/>
                <w:bCs/>
              </w:rPr>
            </w:pPr>
          </w:p>
          <w:p w14:paraId="62D0F04E" w14:textId="5F4E8788" w:rsidR="008B0A41" w:rsidRPr="008B0A41" w:rsidRDefault="008B0A41" w:rsidP="008B0A41">
            <w:pPr>
              <w:jc w:val="both"/>
            </w:pPr>
            <w:r w:rsidRPr="008B0A41">
              <w:t>a) _</w:t>
            </w:r>
            <w:r w:rsidRPr="008B0A41">
              <w:rPr>
                <w:highlight w:val="yellow"/>
              </w:rPr>
              <w:t>Aonde</w:t>
            </w:r>
            <w:r w:rsidRPr="008B0A41">
              <w:t>____ você chegará com esta velocidade toda?</w:t>
            </w:r>
          </w:p>
          <w:p w14:paraId="049FCC9C" w14:textId="77777777" w:rsidR="008B0A41" w:rsidRPr="008B0A41" w:rsidRDefault="008B0A41" w:rsidP="008B0A41">
            <w:pPr>
              <w:jc w:val="both"/>
            </w:pPr>
          </w:p>
          <w:p w14:paraId="01794236" w14:textId="2EE059CE" w:rsidR="008B0A41" w:rsidRPr="008B0A41" w:rsidRDefault="008B0A41" w:rsidP="008B0A41">
            <w:pPr>
              <w:jc w:val="both"/>
            </w:pPr>
            <w:r w:rsidRPr="008B0A41">
              <w:t>b) _</w:t>
            </w:r>
            <w:r w:rsidRPr="008B0A41">
              <w:rPr>
                <w:highlight w:val="yellow"/>
              </w:rPr>
              <w:t>Onde</w:t>
            </w:r>
            <w:r w:rsidRPr="008B0A41">
              <w:t>_ você está neste exato momento?</w:t>
            </w:r>
          </w:p>
          <w:p w14:paraId="23EDB450" w14:textId="77777777" w:rsidR="008B0A41" w:rsidRPr="008B0A41" w:rsidRDefault="008B0A41" w:rsidP="008B0A41">
            <w:pPr>
              <w:jc w:val="both"/>
            </w:pPr>
          </w:p>
          <w:p w14:paraId="712B185C" w14:textId="47B78CD0" w:rsidR="008B0A41" w:rsidRPr="008B0A41" w:rsidRDefault="008B0A41" w:rsidP="008B0A41">
            <w:pPr>
              <w:jc w:val="both"/>
            </w:pPr>
            <w:r w:rsidRPr="008B0A41">
              <w:t>c) Este é o local _</w:t>
            </w:r>
            <w:r w:rsidRPr="008B0A41">
              <w:rPr>
                <w:highlight w:val="yellow"/>
              </w:rPr>
              <w:t>onde</w:t>
            </w:r>
            <w:r w:rsidRPr="008B0A41">
              <w:t>_ trabalho.</w:t>
            </w:r>
          </w:p>
          <w:p w14:paraId="1D5268B7" w14:textId="77777777" w:rsidR="008B0A41" w:rsidRPr="008B0A41" w:rsidRDefault="008B0A41" w:rsidP="008B0A41">
            <w:pPr>
              <w:jc w:val="both"/>
            </w:pPr>
          </w:p>
          <w:p w14:paraId="77686E5D" w14:textId="4A9FCE53" w:rsidR="008B0A41" w:rsidRPr="008B0A41" w:rsidRDefault="008B0A41" w:rsidP="008B0A41">
            <w:pPr>
              <w:jc w:val="both"/>
            </w:pPr>
            <w:r w:rsidRPr="008B0A41">
              <w:t>d) Você vai buscá-la _</w:t>
            </w:r>
            <w:r w:rsidRPr="008B0A41">
              <w:rPr>
                <w:highlight w:val="yellow"/>
              </w:rPr>
              <w:t>aonde</w:t>
            </w:r>
            <w:r w:rsidRPr="008B0A41">
              <w:t>_?</w:t>
            </w:r>
          </w:p>
          <w:p w14:paraId="5FBB2BE1" w14:textId="77777777" w:rsidR="008B0A41" w:rsidRPr="008B0A41" w:rsidRDefault="008B0A41" w:rsidP="00721100">
            <w:pPr>
              <w:jc w:val="both"/>
            </w:pPr>
          </w:p>
          <w:p w14:paraId="339081A3" w14:textId="28109046" w:rsidR="008B0A41" w:rsidRDefault="008B0A41" w:rsidP="00721100">
            <w:pPr>
              <w:jc w:val="both"/>
              <w:rPr>
                <w:b/>
                <w:bCs/>
              </w:rPr>
            </w:pPr>
          </w:p>
        </w:tc>
      </w:tr>
    </w:tbl>
    <w:p w14:paraId="1A3BDB37" w14:textId="77777777" w:rsidR="008B0A41" w:rsidRDefault="008B0A41" w:rsidP="00721100">
      <w:pPr>
        <w:jc w:val="both"/>
        <w:rPr>
          <w:b/>
          <w:bCs/>
        </w:rPr>
      </w:pPr>
    </w:p>
    <w:p w14:paraId="4D751B95" w14:textId="77777777" w:rsidR="00721100" w:rsidRPr="00721100" w:rsidRDefault="00721100" w:rsidP="00721100">
      <w:pPr>
        <w:jc w:val="both"/>
        <w:rPr>
          <w:b/>
          <w:bCs/>
        </w:rPr>
      </w:pPr>
    </w:p>
    <w:p w14:paraId="7E879AB4" w14:textId="77777777" w:rsidR="00721100" w:rsidRPr="00721100" w:rsidRDefault="00721100" w:rsidP="00721100">
      <w:pPr>
        <w:jc w:val="both"/>
        <w:rPr>
          <w:b/>
          <w:bCs/>
        </w:rPr>
      </w:pPr>
    </w:p>
    <w:p w14:paraId="7F6A1513" w14:textId="23B77084" w:rsidR="00721100" w:rsidRDefault="00721100"/>
    <w:p w14:paraId="4F64401C" w14:textId="77777777" w:rsidR="00721100" w:rsidRDefault="00721100"/>
    <w:sectPr w:rsidR="00721100" w:rsidSect="00563C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971F1"/>
    <w:multiLevelType w:val="multilevel"/>
    <w:tmpl w:val="FA16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B36F1"/>
    <w:multiLevelType w:val="multilevel"/>
    <w:tmpl w:val="F55C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3736BE"/>
    <w:multiLevelType w:val="multilevel"/>
    <w:tmpl w:val="97BE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B6652A"/>
    <w:multiLevelType w:val="hybridMultilevel"/>
    <w:tmpl w:val="0194055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00"/>
    <w:rsid w:val="002318EB"/>
    <w:rsid w:val="00563C58"/>
    <w:rsid w:val="00721100"/>
    <w:rsid w:val="007315A7"/>
    <w:rsid w:val="007A2C96"/>
    <w:rsid w:val="008B0A41"/>
    <w:rsid w:val="00B413AD"/>
    <w:rsid w:val="00FE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B519"/>
  <w15:chartTrackingRefBased/>
  <w15:docId w15:val="{33FC1375-EEB1-4A16-813A-95DF749F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21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31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617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Professores</dc:creator>
  <cp:keywords/>
  <dc:description/>
  <cp:lastModifiedBy>Professores</cp:lastModifiedBy>
  <cp:revision>1</cp:revision>
  <dcterms:created xsi:type="dcterms:W3CDTF">2025-07-10T17:40:00Z</dcterms:created>
  <dcterms:modified xsi:type="dcterms:W3CDTF">2025-07-11T13:39:00Z</dcterms:modified>
</cp:coreProperties>
</file>