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44C5" w14:textId="77777777" w:rsidR="00C4407A" w:rsidRPr="00C4407A" w:rsidRDefault="00C4407A" w:rsidP="00C4407A">
      <w:pPr>
        <w:rPr>
          <w:b/>
          <w:bCs/>
        </w:rPr>
      </w:pPr>
      <w:r w:rsidRPr="00C4407A">
        <w:rPr>
          <w:b/>
          <w:bCs/>
        </w:rPr>
        <w:t>Gabarito – Geografia – Unidade 5 – Capítulo 3 (8º ano)</w:t>
      </w:r>
    </w:p>
    <w:p w14:paraId="79FEFCD9" w14:textId="77777777" w:rsidR="00C4407A" w:rsidRPr="00C4407A" w:rsidRDefault="00C4407A" w:rsidP="00C4407A">
      <w:r w:rsidRPr="00C4407A">
        <w:rPr>
          <w:b/>
          <w:bCs/>
        </w:rPr>
        <w:t xml:space="preserve">1. </w:t>
      </w:r>
      <w:r w:rsidRPr="00C4407A">
        <w:t xml:space="preserve">O Canadá foi colonizado por </w:t>
      </w:r>
      <w:r w:rsidRPr="00C4407A">
        <w:rPr>
          <w:b/>
          <w:bCs/>
        </w:rPr>
        <w:t>franceses e ingleses</w:t>
      </w:r>
      <w:r w:rsidRPr="00C4407A">
        <w:t>. Inicialmente, a França ocupou parte do território (Nova França), mas, após conflitos, principalmente a Guerra dos Sete Anos, o Reino Unido assumiu o controle de grande parte da colônia. Por isso, o país preserva até hoje influências culturais, linguísticas e políticas dos dois povos.</w:t>
      </w:r>
    </w:p>
    <w:p w14:paraId="46371561" w14:textId="77777777" w:rsidR="00C4407A" w:rsidRPr="00C4407A" w:rsidRDefault="00C4407A" w:rsidP="00C4407A">
      <w:r w:rsidRPr="00C4407A">
        <w:pict w14:anchorId="7E15ECA1">
          <v:rect id="_x0000_i1061" style="width:441.9pt;height:1.5pt" o:hralign="center" o:hrstd="t" o:hr="t" fillcolor="#a0a0a0" stroked="f"/>
        </w:pict>
      </w:r>
    </w:p>
    <w:p w14:paraId="4A3C1084" w14:textId="77777777" w:rsidR="00C4407A" w:rsidRPr="00C4407A" w:rsidRDefault="00C4407A" w:rsidP="00C4407A">
      <w:r w:rsidRPr="00C4407A">
        <w:rPr>
          <w:b/>
          <w:bCs/>
        </w:rPr>
        <w:t xml:space="preserve">2. </w:t>
      </w:r>
      <w:r w:rsidRPr="00C4407A">
        <w:t xml:space="preserve">A agricultura canadense é </w:t>
      </w:r>
      <w:r w:rsidRPr="00C4407A">
        <w:rPr>
          <w:b/>
          <w:bCs/>
        </w:rPr>
        <w:t>moderna, mecanizada e altamente produtiva</w:t>
      </w:r>
      <w:r w:rsidRPr="00C4407A">
        <w:t xml:space="preserve">, concentrando-se principalmente no sul do país, onde o clima é mais favorável. Destacam-se o cultivo de </w:t>
      </w:r>
      <w:r w:rsidRPr="00C4407A">
        <w:rPr>
          <w:b/>
          <w:bCs/>
        </w:rPr>
        <w:t>trigo, canola, cevada, milho e aveia</w:t>
      </w:r>
      <w:r w:rsidRPr="00C4407A">
        <w:t>, além da pecuária. Nas regiões do norte, o frio intenso dificulta as atividades agrícolas.</w:t>
      </w:r>
    </w:p>
    <w:p w14:paraId="7D526F77" w14:textId="77777777" w:rsidR="00C4407A" w:rsidRPr="00C4407A" w:rsidRDefault="00C4407A" w:rsidP="00C4407A">
      <w:r w:rsidRPr="00C4407A">
        <w:pict w14:anchorId="2A23C624">
          <v:rect id="_x0000_i1062" style="width:441.9pt;height:1.5pt" o:hralign="center" o:hrstd="t" o:hr="t" fillcolor="#a0a0a0" stroked="f"/>
        </w:pict>
      </w:r>
    </w:p>
    <w:p w14:paraId="5E8B2E6D" w14:textId="77777777" w:rsidR="00C4407A" w:rsidRPr="00C4407A" w:rsidRDefault="00C4407A" w:rsidP="00C4407A">
      <w:r w:rsidRPr="00C4407A">
        <w:rPr>
          <w:b/>
          <w:bCs/>
        </w:rPr>
        <w:t xml:space="preserve">3. </w:t>
      </w:r>
      <w:r w:rsidRPr="00C4407A">
        <w:t>O Canadá possui uma economia desenvolvida e diversificada. Destacam-se:</w:t>
      </w:r>
    </w:p>
    <w:p w14:paraId="1C80F1BA" w14:textId="77777777" w:rsidR="00C4407A" w:rsidRPr="00C4407A" w:rsidRDefault="00C4407A" w:rsidP="00C4407A">
      <w:pPr>
        <w:numPr>
          <w:ilvl w:val="0"/>
          <w:numId w:val="1"/>
        </w:numPr>
      </w:pPr>
      <w:r w:rsidRPr="00C4407A">
        <w:rPr>
          <w:b/>
          <w:bCs/>
        </w:rPr>
        <w:t>Setor primário:</w:t>
      </w:r>
      <w:r w:rsidRPr="00C4407A">
        <w:t xml:space="preserve"> mineração, exploração de petróleo, gás natural, madeira e pesca; </w:t>
      </w:r>
    </w:p>
    <w:p w14:paraId="19C63627" w14:textId="77777777" w:rsidR="00C4407A" w:rsidRPr="00C4407A" w:rsidRDefault="00C4407A" w:rsidP="00C4407A">
      <w:pPr>
        <w:numPr>
          <w:ilvl w:val="0"/>
          <w:numId w:val="1"/>
        </w:numPr>
      </w:pPr>
      <w:r w:rsidRPr="00C4407A">
        <w:rPr>
          <w:b/>
          <w:bCs/>
        </w:rPr>
        <w:t>Setor secundário:</w:t>
      </w:r>
      <w:r w:rsidRPr="00C4407A">
        <w:t xml:space="preserve"> indústrias automobilística, siderúrgica, alimentícia, química e de papel e celulose; </w:t>
      </w:r>
    </w:p>
    <w:p w14:paraId="641837E1" w14:textId="77777777" w:rsidR="00C4407A" w:rsidRPr="00C4407A" w:rsidRDefault="00C4407A" w:rsidP="00C4407A">
      <w:pPr>
        <w:numPr>
          <w:ilvl w:val="0"/>
          <w:numId w:val="1"/>
        </w:numPr>
      </w:pPr>
      <w:r w:rsidRPr="00C4407A">
        <w:rPr>
          <w:b/>
          <w:bCs/>
        </w:rPr>
        <w:t>Setor terciário:</w:t>
      </w:r>
      <w:r w:rsidRPr="00C4407A">
        <w:t xml:space="preserve"> comércio, transportes, tecnologia, educação, saúde, turismo e serviços financeiros. </w:t>
      </w:r>
    </w:p>
    <w:p w14:paraId="1024980B" w14:textId="77777777" w:rsidR="00C4407A" w:rsidRPr="00C4407A" w:rsidRDefault="00C4407A" w:rsidP="00C4407A">
      <w:r w:rsidRPr="00C4407A">
        <w:pict w14:anchorId="39750B0D">
          <v:rect id="_x0000_i1063" style="width:441.9pt;height:1.5pt" o:hralign="center" o:hrstd="t" o:hr="t" fillcolor="#a0a0a0" stroked="f"/>
        </w:pict>
      </w:r>
    </w:p>
    <w:p w14:paraId="66E9A7A6" w14:textId="77777777" w:rsidR="00C4407A" w:rsidRPr="00C4407A" w:rsidRDefault="00C4407A" w:rsidP="00C4407A">
      <w:r w:rsidRPr="00C4407A">
        <w:rPr>
          <w:b/>
          <w:bCs/>
        </w:rPr>
        <w:t xml:space="preserve">4. </w:t>
      </w:r>
      <w:r w:rsidRPr="00C4407A">
        <w:t>Porque os Estados Unidos são o principal parceiro comercial do Canadá. Grande parte das exportações canadenses é destinada ao mercado norte-americano, e muitos investimentos, empresas e cadeias produtivas dos dois países são integrados, tornando a economia canadense bastante dependente do desempenho econômico dos EUA.</w:t>
      </w:r>
    </w:p>
    <w:p w14:paraId="2CD17A5A" w14:textId="77777777" w:rsidR="00C4407A" w:rsidRPr="00C4407A" w:rsidRDefault="00C4407A" w:rsidP="00C4407A">
      <w:r w:rsidRPr="00C4407A">
        <w:pict w14:anchorId="5A35BF7F">
          <v:rect id="_x0000_i1064" style="width:441.9pt;height:1.5pt" o:hralign="center" o:hrstd="t" o:hr="t" fillcolor="#a0a0a0" stroked="f"/>
        </w:pict>
      </w:r>
    </w:p>
    <w:p w14:paraId="7B4F8983" w14:textId="77777777" w:rsidR="00C4407A" w:rsidRPr="00C4407A" w:rsidRDefault="00C4407A" w:rsidP="00C4407A">
      <w:r w:rsidRPr="00C4407A">
        <w:rPr>
          <w:b/>
          <w:bCs/>
        </w:rPr>
        <w:t xml:space="preserve">5. </w:t>
      </w:r>
      <w:proofErr w:type="spellStart"/>
      <w:r w:rsidRPr="00C4407A">
        <w:t>Permafrost</w:t>
      </w:r>
      <w:proofErr w:type="spellEnd"/>
      <w:r w:rsidRPr="00C4407A">
        <w:t xml:space="preserve"> é uma camada de solo que permanece </w:t>
      </w:r>
      <w:r w:rsidRPr="00C4407A">
        <w:rPr>
          <w:b/>
          <w:bCs/>
        </w:rPr>
        <w:t>congelada por pelo menos dois anos consecutivos</w:t>
      </w:r>
      <w:r w:rsidRPr="00C4407A">
        <w:t>, característica das regiões polares e subpolares do norte do Canadá. Seu descongelamento pode causar impactos ambientais e estruturais.</w:t>
      </w:r>
    </w:p>
    <w:p w14:paraId="355B56FC" w14:textId="77777777" w:rsidR="00C4407A" w:rsidRPr="00C4407A" w:rsidRDefault="00C4407A" w:rsidP="00C4407A">
      <w:r w:rsidRPr="00C4407A">
        <w:pict w14:anchorId="5B0059CE">
          <v:rect id="_x0000_i1065" style="width:441.9pt;height:1.5pt" o:hralign="center" o:hrstd="t" o:hr="t" fillcolor="#a0a0a0" stroked="f"/>
        </w:pict>
      </w:r>
    </w:p>
    <w:p w14:paraId="0C24C6B6" w14:textId="77777777" w:rsidR="00C4407A" w:rsidRPr="00C4407A" w:rsidRDefault="00C4407A" w:rsidP="00C4407A">
      <w:r w:rsidRPr="00C4407A">
        <w:rPr>
          <w:b/>
          <w:bCs/>
        </w:rPr>
        <w:t xml:space="preserve">6. </w:t>
      </w:r>
      <w:r w:rsidRPr="00C4407A">
        <w:t xml:space="preserve">O </w:t>
      </w:r>
      <w:r w:rsidRPr="00C4407A">
        <w:rPr>
          <w:b/>
          <w:bCs/>
        </w:rPr>
        <w:t xml:space="preserve">NAFTA (North American Free Trade </w:t>
      </w:r>
      <w:proofErr w:type="spellStart"/>
      <w:r w:rsidRPr="00C4407A">
        <w:rPr>
          <w:b/>
          <w:bCs/>
        </w:rPr>
        <w:t>Agreement</w:t>
      </w:r>
      <w:proofErr w:type="spellEnd"/>
      <w:r w:rsidRPr="00C4407A">
        <w:rPr>
          <w:b/>
          <w:bCs/>
        </w:rPr>
        <w:t>)</w:t>
      </w:r>
      <w:r w:rsidRPr="00C4407A">
        <w:t xml:space="preserve"> foi um acordo de livre comércio entre </w:t>
      </w:r>
      <w:r w:rsidRPr="00C4407A">
        <w:rPr>
          <w:b/>
          <w:bCs/>
        </w:rPr>
        <w:t>Canadá, Estados Unidos e México</w:t>
      </w:r>
      <w:r w:rsidRPr="00C4407A">
        <w:t xml:space="preserve">, criado para facilitar o </w:t>
      </w:r>
      <w:r w:rsidRPr="00C4407A">
        <w:lastRenderedPageBreak/>
        <w:t xml:space="preserve">comércio entre os três países, reduzindo tarifas de importação e ampliando a integração econômica. Em 2020, foi substituído pelo </w:t>
      </w:r>
      <w:r w:rsidRPr="00C4407A">
        <w:rPr>
          <w:b/>
          <w:bCs/>
        </w:rPr>
        <w:t>USMCA (ou CUSMA/T-MEC)</w:t>
      </w:r>
      <w:r w:rsidRPr="00C4407A">
        <w:t>.</w:t>
      </w:r>
    </w:p>
    <w:p w14:paraId="79E7DA54" w14:textId="77777777" w:rsidR="00C4407A" w:rsidRPr="00C4407A" w:rsidRDefault="00C4407A" w:rsidP="00C4407A">
      <w:r w:rsidRPr="00C4407A">
        <w:pict w14:anchorId="3782188A">
          <v:rect id="_x0000_i1066" style="width:441.9pt;height:1.5pt" o:hralign="center" o:hrstd="t" o:hr="t" fillcolor="#a0a0a0" stroked="f"/>
        </w:pict>
      </w:r>
    </w:p>
    <w:p w14:paraId="4EAFBAC8" w14:textId="77777777" w:rsidR="00C4407A" w:rsidRPr="00C4407A" w:rsidRDefault="00C4407A" w:rsidP="00C4407A">
      <w:r w:rsidRPr="00C4407A">
        <w:rPr>
          <w:b/>
          <w:bCs/>
        </w:rPr>
        <w:t xml:space="preserve">7. </w:t>
      </w:r>
      <w:r w:rsidRPr="00C4407A">
        <w:t xml:space="preserve">O Canadá apresenta </w:t>
      </w:r>
      <w:r w:rsidRPr="00C4407A">
        <w:rPr>
          <w:b/>
          <w:bCs/>
        </w:rPr>
        <w:t>elevado Índice de Desenvolvimento Humano (IDH)</w:t>
      </w:r>
      <w:r w:rsidRPr="00C4407A">
        <w:t>, boa qualidade de vida, acesso à saúde pública, educação de qualidade, elevada renda e infraestrutura desenvolvida. A maior parte da população vive próxima à fronteira com os Estados Unidos, onde o clima é mais ameno e se concentram as principais cidades e atividades econômicas.</w:t>
      </w:r>
    </w:p>
    <w:p w14:paraId="551309F4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7BDA"/>
    <w:multiLevelType w:val="multilevel"/>
    <w:tmpl w:val="531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0115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7A"/>
    <w:rsid w:val="002D15D7"/>
    <w:rsid w:val="007D23C3"/>
    <w:rsid w:val="00C4407A"/>
    <w:rsid w:val="00E0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A7E1"/>
  <w15:chartTrackingRefBased/>
  <w15:docId w15:val="{93622AEB-04F5-48F4-B8FC-FBDB8FA0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4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4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4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4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4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4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4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4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4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4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4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4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4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4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4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4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4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4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4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4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4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4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4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4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4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4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2026-08-07T15:01:00Z</dcterms:created>
  <dcterms:modified xsi:type="dcterms:W3CDTF">2026-08-07T15:02:00Z</dcterms:modified>
</cp:coreProperties>
</file>