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40BB" w14:textId="77777777" w:rsidR="003720E0" w:rsidRDefault="000B4D92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896577" wp14:editId="4706568E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54D3A6" w14:textId="77777777" w:rsidR="003720E0" w:rsidRDefault="000B4D9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171010" wp14:editId="76CFE53D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896577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5354D3A6" w14:textId="77777777" w:rsidR="003720E0" w:rsidRDefault="000B4D92">
                      <w:r>
                        <w:rPr>
                          <w:noProof/>
                        </w:rPr>
                        <w:drawing>
                          <wp:inline distT="0" distB="0" distL="0" distR="0" wp14:anchorId="13171010" wp14:editId="76CFE53D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4DBF288A" w14:textId="77777777" w:rsidR="003720E0" w:rsidRDefault="003720E0"/>
    <w:p w14:paraId="39831179" w14:textId="77777777" w:rsidR="003720E0" w:rsidRDefault="000B4D92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7442128A" w14:textId="77777777" w:rsidR="003720E0" w:rsidRDefault="000B4D9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Nathan Pereira</w:t>
      </w:r>
      <w:r>
        <w:rPr>
          <w:b/>
          <w:sz w:val="22"/>
          <w:szCs w:val="22"/>
        </w:rPr>
        <w:t xml:space="preserve"> </w:t>
      </w:r>
      <w:r>
        <w:rPr>
          <w:b/>
          <w:color w:val="EE0000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>8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25CE3231" w14:textId="77777777" w:rsidR="003720E0" w:rsidRDefault="000B4D92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3354A2" wp14:editId="2142BCE5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845CF6" w14:textId="77777777" w:rsidR="003720E0" w:rsidRDefault="000B4D92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6FEF0A54" w14:textId="77777777" w:rsidR="003720E0" w:rsidRDefault="003720E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3354A2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0B845CF6" w14:textId="77777777" w:rsidR="003720E0" w:rsidRDefault="000B4D92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6FEF0A54" w14:textId="77777777" w:rsidR="003720E0" w:rsidRDefault="003720E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72685797" w14:textId="77777777" w:rsidR="003720E0" w:rsidRDefault="003720E0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27F53B3C" w14:textId="77777777" w:rsidR="003720E0" w:rsidRDefault="003720E0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05EE3E8C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1- Descreva o trajeto do espermatozoide, da produção à ejaculação.</w:t>
      </w:r>
    </w:p>
    <w:p w14:paraId="1FE23ADB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</w:t>
      </w:r>
    </w:p>
    <w:p w14:paraId="44F8ADAA" w14:textId="77777777" w:rsidR="003720E0" w:rsidRDefault="003720E0"/>
    <w:p w14:paraId="132B1EE3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2- Qual a estrutura do sistema reprodutor feminino que possui um número maior de terminações nervosas? Qual sua função?</w:t>
      </w:r>
    </w:p>
    <w:p w14:paraId="784CB2EB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</w:t>
      </w:r>
    </w:p>
    <w:p w14:paraId="3178D403" w14:textId="77777777" w:rsidR="003720E0" w:rsidRDefault="003720E0"/>
    <w:p w14:paraId="036A4DA3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3- Relacione as ISTs com seus possíveis tratamentos.</w:t>
      </w:r>
    </w:p>
    <w:p w14:paraId="203111D3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 xml:space="preserve">(1) </w:t>
      </w:r>
      <w:r>
        <w:rPr>
          <w:color w:val="000000"/>
          <w:sz w:val="22"/>
          <w:szCs w:val="22"/>
        </w:rPr>
        <w:t>Antibiótico </w:t>
      </w:r>
    </w:p>
    <w:p w14:paraId="15859A8E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(2) </w:t>
      </w:r>
      <w:r>
        <w:rPr>
          <w:color w:val="000000"/>
          <w:sz w:val="22"/>
          <w:szCs w:val="22"/>
        </w:rPr>
        <w:t>Antivirais </w:t>
      </w:r>
    </w:p>
    <w:p w14:paraId="4186F754" w14:textId="77777777" w:rsidR="003720E0" w:rsidRDefault="003720E0">
      <w:pPr>
        <w:pStyle w:val="NormalWeb"/>
        <w:spacing w:before="0" w:beforeAutospacing="0" w:after="0" w:afterAutospacing="0" w:line="15" w:lineRule="atLeast"/>
        <w:jc w:val="both"/>
        <w:rPr>
          <w:color w:val="000000"/>
          <w:sz w:val="22"/>
          <w:szCs w:val="22"/>
        </w:rPr>
      </w:pPr>
    </w:p>
    <w:p w14:paraId="71CB1EC4" w14:textId="77777777" w:rsidR="003720E0" w:rsidRDefault="003720E0">
      <w:pPr>
        <w:pStyle w:val="NormalWeb"/>
        <w:spacing w:before="0" w:beforeAutospacing="0" w:after="0" w:afterAutospacing="0" w:line="15" w:lineRule="atLeast"/>
        <w:jc w:val="both"/>
        <w:rPr>
          <w:color w:val="000000"/>
          <w:sz w:val="22"/>
          <w:szCs w:val="22"/>
        </w:rPr>
        <w:sectPr w:rsidR="003720E0">
          <w:type w:val="continuous"/>
          <w:pgSz w:w="11906" w:h="16838"/>
          <w:pgMar w:top="562" w:right="562" w:bottom="706" w:left="677" w:header="709" w:footer="567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space="708"/>
          <w:docGrid w:linePitch="360"/>
        </w:sectPr>
      </w:pPr>
    </w:p>
    <w:p w14:paraId="18682976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HIV</w:t>
      </w:r>
    </w:p>
    <w:p w14:paraId="6F0B48D7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Gonorreia</w:t>
      </w:r>
    </w:p>
    <w:p w14:paraId="1EF64A0E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Sífilis </w:t>
      </w:r>
    </w:p>
    <w:p w14:paraId="6983CEEE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Hepatite B</w:t>
      </w:r>
    </w:p>
    <w:p w14:paraId="00A6641F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Herpes genital</w:t>
      </w:r>
    </w:p>
    <w:p w14:paraId="0A5B9CB5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Cancro mole </w:t>
      </w:r>
    </w:p>
    <w:p w14:paraId="77977C01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Clamídia</w:t>
      </w:r>
    </w:p>
    <w:p w14:paraId="097D3D2C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HPV </w:t>
      </w:r>
    </w:p>
    <w:p w14:paraId="24A0742A" w14:textId="77777777" w:rsidR="003720E0" w:rsidRDefault="003720E0">
      <w:pPr>
        <w:sectPr w:rsidR="003720E0">
          <w:type w:val="continuous"/>
          <w:pgSz w:w="11906" w:h="16838"/>
          <w:pgMar w:top="567" w:right="567" w:bottom="709" w:left="680" w:header="709" w:footer="567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num="2" w:space="720" w:equalWidth="0">
            <w:col w:w="5117" w:space="425"/>
            <w:col w:w="5117"/>
          </w:cols>
          <w:docGrid w:linePitch="360"/>
        </w:sectPr>
      </w:pPr>
    </w:p>
    <w:p w14:paraId="3A95250F" w14:textId="77777777" w:rsidR="003720E0" w:rsidRDefault="003720E0"/>
    <w:p w14:paraId="06BB73F7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4- Explique o motivo da mudança da nomenclatura Doenças Sexualmente Transmissíveis (DST) para Infecções Sexualmente Transmissíveis (IST).</w:t>
      </w:r>
    </w:p>
    <w:p w14:paraId="605C7118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</w:t>
      </w:r>
    </w:p>
    <w:p w14:paraId="556B7F8F" w14:textId="77777777" w:rsidR="003720E0" w:rsidRDefault="003720E0"/>
    <w:p w14:paraId="180962A0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5- Cite 3 ISTs  que são de origem bacteriana.</w:t>
      </w:r>
    </w:p>
    <w:p w14:paraId="3B194727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</w:t>
      </w:r>
    </w:p>
    <w:p w14:paraId="53CB7164" w14:textId="77777777" w:rsidR="003720E0" w:rsidRDefault="003720E0"/>
    <w:p w14:paraId="3EC9FB72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6- Descreva as 5 glândulas do sistema reprodutor masculino e suas respectivas funções. </w:t>
      </w:r>
    </w:p>
    <w:p w14:paraId="65C01064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</w:t>
      </w:r>
    </w:p>
    <w:p w14:paraId="1441AD37" w14:textId="77777777" w:rsidR="003720E0" w:rsidRDefault="003720E0"/>
    <w:p w14:paraId="369EC523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7- Descreva os sintomas da gonorreia.</w:t>
      </w:r>
    </w:p>
    <w:p w14:paraId="03FDA55D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</w:t>
      </w:r>
    </w:p>
    <w:p w14:paraId="34BD8580" w14:textId="77777777" w:rsidR="003720E0" w:rsidRDefault="003720E0"/>
    <w:p w14:paraId="65B7597D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8- Classifique os métodos abaixo</w:t>
      </w:r>
    </w:p>
    <w:p w14:paraId="45F0F005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 xml:space="preserve">(1) </w:t>
      </w:r>
      <w:r>
        <w:rPr>
          <w:color w:val="000000"/>
          <w:sz w:val="22"/>
          <w:szCs w:val="22"/>
        </w:rPr>
        <w:t>Hormonal</w:t>
      </w:r>
    </w:p>
    <w:p w14:paraId="4734C0F7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(2) </w:t>
      </w:r>
      <w:r>
        <w:rPr>
          <w:color w:val="000000"/>
          <w:sz w:val="22"/>
          <w:szCs w:val="22"/>
        </w:rPr>
        <w:t>Irreversíveis </w:t>
      </w:r>
    </w:p>
    <w:p w14:paraId="4DDB92B4" w14:textId="77777777" w:rsidR="003720E0" w:rsidRDefault="003720E0">
      <w:pPr>
        <w:spacing w:after="240"/>
      </w:pPr>
    </w:p>
    <w:p w14:paraId="7B97EE76" w14:textId="77777777" w:rsidR="003720E0" w:rsidRDefault="003720E0">
      <w:pPr>
        <w:pStyle w:val="NormalWeb"/>
        <w:spacing w:before="0" w:beforeAutospacing="0" w:after="0" w:afterAutospacing="0" w:line="15" w:lineRule="atLeast"/>
        <w:jc w:val="both"/>
        <w:rPr>
          <w:color w:val="000000"/>
          <w:sz w:val="22"/>
          <w:szCs w:val="22"/>
        </w:rPr>
        <w:sectPr w:rsidR="003720E0">
          <w:type w:val="continuous"/>
          <w:pgSz w:w="11906" w:h="16838"/>
          <w:pgMar w:top="567" w:right="567" w:bottom="709" w:left="680" w:header="709" w:footer="567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space="708"/>
          <w:docGrid w:linePitch="360"/>
        </w:sectPr>
      </w:pPr>
    </w:p>
    <w:p w14:paraId="0EA4145D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Laqueadura</w:t>
      </w:r>
    </w:p>
    <w:p w14:paraId="47ADF20D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Pílulas</w:t>
      </w:r>
    </w:p>
    <w:p w14:paraId="772BB463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Adesivos</w:t>
      </w:r>
    </w:p>
    <w:p w14:paraId="62B427BC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Vasectomia</w:t>
      </w:r>
    </w:p>
    <w:p w14:paraId="3465352F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DIU hormonal</w:t>
      </w:r>
    </w:p>
    <w:p w14:paraId="29B61668" w14:textId="77777777" w:rsidR="003720E0" w:rsidRDefault="000B4D92">
      <w:pPr>
        <w:pStyle w:val="NormalWeb"/>
        <w:spacing w:before="0" w:beforeAutospacing="0" w:after="0" w:afterAutospacing="0" w:line="15" w:lineRule="atLeast"/>
        <w:jc w:val="both"/>
      </w:pPr>
      <w:r>
        <w:rPr>
          <w:color w:val="000000"/>
          <w:sz w:val="22"/>
          <w:szCs w:val="22"/>
        </w:rPr>
        <w:t>( ) Injeções</w:t>
      </w:r>
    </w:p>
    <w:p w14:paraId="49864E73" w14:textId="77777777" w:rsidR="003720E0" w:rsidRDefault="003720E0">
      <w:pPr>
        <w:sectPr w:rsidR="003720E0">
          <w:type w:val="continuous"/>
          <w:pgSz w:w="11906" w:h="16838"/>
          <w:pgMar w:top="567" w:right="567" w:bottom="709" w:left="680" w:header="709" w:footer="567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num="2" w:space="720" w:equalWidth="0">
            <w:col w:w="5117" w:space="425"/>
            <w:col w:w="5117"/>
          </w:cols>
          <w:docGrid w:linePitch="360"/>
        </w:sectPr>
      </w:pPr>
    </w:p>
    <w:p w14:paraId="407C743C" w14:textId="77777777" w:rsidR="003720E0" w:rsidRDefault="000B4D92">
      <w:r>
        <w:br w:type="page"/>
      </w:r>
    </w:p>
    <w:p w14:paraId="0183EF34" w14:textId="77777777" w:rsidR="003720E0" w:rsidRDefault="000B4D9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GABARITO</w:t>
      </w:r>
    </w:p>
    <w:p w14:paraId="3D7C435B" w14:textId="77777777" w:rsidR="003720E0" w:rsidRDefault="000B4D92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rFonts w:eastAsia="SimSun"/>
          <w:sz w:val="22"/>
          <w:szCs w:val="22"/>
        </w:rPr>
        <w:t xml:space="preserve">Os espermatozoides são produzidos nos </w:t>
      </w:r>
      <w:r>
        <w:rPr>
          <w:rStyle w:val="Forte"/>
          <w:rFonts w:eastAsia="SimSun"/>
          <w:b w:val="0"/>
          <w:bCs w:val="0"/>
          <w:sz w:val="22"/>
          <w:szCs w:val="22"/>
        </w:rPr>
        <w:t>túbulos seminíferos dos testículos</w:t>
      </w:r>
      <w:r>
        <w:rPr>
          <w:rFonts w:eastAsia="SimSun"/>
          <w:sz w:val="22"/>
          <w:szCs w:val="22"/>
        </w:rPr>
        <w:t xml:space="preserve">. Depois, passam para o </w:t>
      </w:r>
      <w:r>
        <w:rPr>
          <w:rStyle w:val="Forte"/>
          <w:rFonts w:eastAsia="SimSun"/>
          <w:b w:val="0"/>
          <w:bCs w:val="0"/>
          <w:sz w:val="22"/>
          <w:szCs w:val="22"/>
        </w:rPr>
        <w:t>epidídimo</w:t>
      </w:r>
      <w:r>
        <w:rPr>
          <w:rFonts w:eastAsia="SimSun"/>
          <w:sz w:val="22"/>
          <w:szCs w:val="22"/>
        </w:rPr>
        <w:t xml:space="preserve">, onde amadurecem e ficam armazenados. Durante a ejaculação, seguem pelo </w:t>
      </w:r>
      <w:r>
        <w:rPr>
          <w:rStyle w:val="Forte"/>
          <w:rFonts w:eastAsia="SimSun"/>
          <w:b w:val="0"/>
          <w:bCs w:val="0"/>
          <w:sz w:val="22"/>
          <w:szCs w:val="22"/>
        </w:rPr>
        <w:t>ducto deferente</w:t>
      </w:r>
      <w:r>
        <w:rPr>
          <w:rFonts w:eastAsia="SimSun"/>
          <w:sz w:val="22"/>
          <w:szCs w:val="22"/>
        </w:rPr>
        <w:t xml:space="preserve">, recebem secreções das </w:t>
      </w:r>
      <w:r>
        <w:rPr>
          <w:rStyle w:val="Forte"/>
          <w:rFonts w:eastAsia="SimSun"/>
          <w:b w:val="0"/>
          <w:bCs w:val="0"/>
          <w:sz w:val="22"/>
          <w:szCs w:val="22"/>
        </w:rPr>
        <w:t>vesículas seminais, próstata e glândulas bulbouretrais</w:t>
      </w:r>
      <w:r>
        <w:rPr>
          <w:rFonts w:eastAsia="SimSun"/>
          <w:sz w:val="22"/>
          <w:szCs w:val="22"/>
        </w:rPr>
        <w:t xml:space="preserve">, passam pela </w:t>
      </w:r>
      <w:r>
        <w:rPr>
          <w:rStyle w:val="Forte"/>
          <w:rFonts w:eastAsia="SimSun"/>
          <w:b w:val="0"/>
          <w:bCs w:val="0"/>
          <w:sz w:val="22"/>
          <w:szCs w:val="22"/>
        </w:rPr>
        <w:t>uretra</w:t>
      </w:r>
      <w:r>
        <w:rPr>
          <w:rFonts w:eastAsia="SimSun"/>
          <w:sz w:val="22"/>
          <w:szCs w:val="22"/>
        </w:rPr>
        <w:t xml:space="preserve"> e são eliminados pelo </w:t>
      </w:r>
      <w:r>
        <w:rPr>
          <w:rStyle w:val="Forte"/>
          <w:rFonts w:eastAsia="SimSun"/>
          <w:b w:val="0"/>
          <w:bCs w:val="0"/>
          <w:sz w:val="22"/>
          <w:szCs w:val="22"/>
        </w:rPr>
        <w:t>pênis</w:t>
      </w:r>
      <w:r>
        <w:rPr>
          <w:rFonts w:eastAsia="SimSun"/>
          <w:sz w:val="22"/>
          <w:szCs w:val="22"/>
        </w:rPr>
        <w:t>.</w:t>
      </w:r>
    </w:p>
    <w:p w14:paraId="6330CD01" w14:textId="77777777" w:rsidR="003720E0" w:rsidRDefault="000B4D92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rStyle w:val="Forte"/>
          <w:rFonts w:eastAsia="SimSun"/>
          <w:b w:val="0"/>
          <w:bCs w:val="0"/>
          <w:sz w:val="22"/>
          <w:szCs w:val="22"/>
        </w:rPr>
        <w:t>Clitóris.</w:t>
      </w:r>
      <w:r>
        <w:rPr>
          <w:rStyle w:val="Forte"/>
          <w:rFonts w:eastAsia="SimSun"/>
          <w:b w:val="0"/>
          <w:bCs w:val="0"/>
          <w:sz w:val="22"/>
          <w:szCs w:val="22"/>
        </w:rPr>
        <w:t xml:space="preserve"> </w:t>
      </w:r>
      <w:r>
        <w:rPr>
          <w:rFonts w:eastAsia="SimSun"/>
          <w:sz w:val="22"/>
          <w:szCs w:val="22"/>
        </w:rPr>
        <w:t xml:space="preserve">Sua principal função está relacionada à </w:t>
      </w:r>
      <w:r>
        <w:rPr>
          <w:rStyle w:val="Forte"/>
          <w:rFonts w:eastAsia="SimSun"/>
          <w:b w:val="0"/>
          <w:bCs w:val="0"/>
          <w:sz w:val="22"/>
          <w:szCs w:val="22"/>
        </w:rPr>
        <w:t>sensibilidade e ao prazer sexual</w:t>
      </w:r>
      <w:r>
        <w:rPr>
          <w:rFonts w:eastAsia="SimSun"/>
          <w:sz w:val="22"/>
          <w:szCs w:val="22"/>
        </w:rPr>
        <w:t>, devido à grande quantidade de terminações nervosas.</w:t>
      </w:r>
    </w:p>
    <w:p w14:paraId="62358796" w14:textId="77777777" w:rsidR="003720E0" w:rsidRDefault="003720E0">
      <w:pPr>
        <w:numPr>
          <w:ilvl w:val="0"/>
          <w:numId w:val="1"/>
        </w:numPr>
        <w:jc w:val="both"/>
        <w:rPr>
          <w:sz w:val="22"/>
          <w:szCs w:val="22"/>
        </w:rPr>
      </w:pPr>
    </w:p>
    <w:p w14:paraId="3A9F78BC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HIV → Antivirais</w:t>
      </w:r>
      <w:r>
        <w:rPr>
          <w:sz w:val="22"/>
          <w:szCs w:val="22"/>
        </w:rPr>
        <w:t xml:space="preserve"> </w:t>
      </w:r>
    </w:p>
    <w:p w14:paraId="12E785B6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Gonorreia → Antibióticos</w:t>
      </w:r>
      <w:r>
        <w:rPr>
          <w:sz w:val="22"/>
          <w:szCs w:val="22"/>
        </w:rPr>
        <w:t xml:space="preserve"> </w:t>
      </w:r>
    </w:p>
    <w:p w14:paraId="5701608C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Sífilis → Antibióticos</w:t>
      </w:r>
      <w:r>
        <w:rPr>
          <w:sz w:val="22"/>
          <w:szCs w:val="22"/>
        </w:rPr>
        <w:t xml:space="preserve"> </w:t>
      </w:r>
    </w:p>
    <w:p w14:paraId="6AE1B4FF" w14:textId="77777777" w:rsidR="003720E0" w:rsidRDefault="000B4D92">
      <w:pPr>
        <w:jc w:val="both"/>
        <w:rPr>
          <w:rStyle w:val="nfase"/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Hepatite B → Antivirais</w:t>
      </w:r>
      <w:r>
        <w:rPr>
          <w:sz w:val="22"/>
          <w:szCs w:val="22"/>
        </w:rPr>
        <w:t xml:space="preserve"> </w:t>
      </w:r>
      <w:r>
        <w:rPr>
          <w:rStyle w:val="nfase"/>
          <w:sz w:val="22"/>
          <w:szCs w:val="22"/>
        </w:rPr>
        <w:t>(em casos crônicos</w:t>
      </w:r>
      <w:r>
        <w:rPr>
          <w:rStyle w:val="nfase"/>
          <w:sz w:val="22"/>
          <w:szCs w:val="22"/>
        </w:rPr>
        <w:t>)</w:t>
      </w:r>
    </w:p>
    <w:p w14:paraId="6FE9882E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Herpes genital → Antivirais</w:t>
      </w:r>
      <w:r>
        <w:rPr>
          <w:sz w:val="22"/>
          <w:szCs w:val="22"/>
        </w:rPr>
        <w:t xml:space="preserve"> </w:t>
      </w:r>
    </w:p>
    <w:p w14:paraId="6D1A3C20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Cancro mole → Antibióticos</w:t>
      </w:r>
      <w:r>
        <w:rPr>
          <w:sz w:val="22"/>
          <w:szCs w:val="22"/>
        </w:rPr>
        <w:t xml:space="preserve"> </w:t>
      </w:r>
    </w:p>
    <w:p w14:paraId="22819BBA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Clamídia → Antibióticos</w:t>
      </w:r>
    </w:p>
    <w:p w14:paraId="613FEB09" w14:textId="77777777" w:rsidR="003720E0" w:rsidRDefault="000B4D9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rFonts w:eastAsia="SimSun"/>
          <w:sz w:val="22"/>
          <w:szCs w:val="22"/>
        </w:rPr>
        <w:t xml:space="preserve">A mudança ocorreu porque uma pessoa pode estar </w:t>
      </w:r>
      <w:r>
        <w:rPr>
          <w:rStyle w:val="Forte"/>
          <w:rFonts w:eastAsia="SimSun"/>
          <w:b w:val="0"/>
          <w:bCs w:val="0"/>
          <w:sz w:val="22"/>
          <w:szCs w:val="22"/>
        </w:rPr>
        <w:t>infectada por um agente causador e não apresentar sintomas ou sinais de doença</w:t>
      </w:r>
      <w:r>
        <w:rPr>
          <w:rFonts w:eastAsia="SimSun"/>
          <w:sz w:val="22"/>
          <w:szCs w:val="22"/>
        </w:rPr>
        <w:t xml:space="preserve">. O termo </w:t>
      </w:r>
      <w:r>
        <w:rPr>
          <w:rStyle w:val="Forte"/>
          <w:rFonts w:eastAsia="SimSun"/>
          <w:b w:val="0"/>
          <w:bCs w:val="0"/>
          <w:sz w:val="22"/>
          <w:szCs w:val="22"/>
        </w:rPr>
        <w:t>IST</w:t>
      </w:r>
      <w:r>
        <w:rPr>
          <w:rFonts w:eastAsia="SimSun"/>
          <w:sz w:val="22"/>
          <w:szCs w:val="22"/>
        </w:rPr>
        <w:t xml:space="preserve"> é mais adequado porque destaca a possibilidade de existir uma infecção mesmo sem manifestações clínicas.</w:t>
      </w:r>
    </w:p>
    <w:p w14:paraId="6C28A882" w14:textId="77777777" w:rsidR="003720E0" w:rsidRDefault="000B4D9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rFonts w:eastAsia="SimSun"/>
          <w:sz w:val="22"/>
          <w:szCs w:val="22"/>
        </w:rPr>
        <w:t>Gonorreia, sífilis e clamídia</w:t>
      </w:r>
    </w:p>
    <w:p w14:paraId="6ED5872C" w14:textId="77777777" w:rsidR="003720E0" w:rsidRDefault="003720E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10AF9E3F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Testículos:</w:t>
      </w:r>
      <w:r>
        <w:rPr>
          <w:sz w:val="22"/>
          <w:szCs w:val="22"/>
        </w:rPr>
        <w:t xml:space="preserve"> produção de espermatozoides e testosterona. </w:t>
      </w:r>
    </w:p>
    <w:p w14:paraId="3C5682B8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Vesículas seminais:</w:t>
      </w:r>
      <w:r>
        <w:rPr>
          <w:sz w:val="22"/>
          <w:szCs w:val="22"/>
        </w:rPr>
        <w:t xml:space="preserve"> produção de líquido rico em nutrientes, especialmente frutose, que fornece energia aos espermatozoides. </w:t>
      </w:r>
    </w:p>
    <w:p w14:paraId="5DE1B0A6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Próstata:</w:t>
      </w:r>
      <w:r>
        <w:rPr>
          <w:sz w:val="22"/>
          <w:szCs w:val="22"/>
        </w:rPr>
        <w:t xml:space="preserve"> produção de secreção que compõe o sêmen e auxilia na proteção e movimentação dos espermatozoides. </w:t>
      </w:r>
    </w:p>
    <w:p w14:paraId="3642A80C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Glândulas bulbouretrais:</w:t>
      </w:r>
      <w:r>
        <w:rPr>
          <w:sz w:val="22"/>
          <w:szCs w:val="22"/>
        </w:rPr>
        <w:t xml:space="preserve"> produção de secreção lubrificante que ajuda a neutralizar a acidez da uretra. </w:t>
      </w:r>
    </w:p>
    <w:p w14:paraId="3635A2BC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Glândulas de Tyson:</w:t>
      </w:r>
      <w:r>
        <w:rPr>
          <w:sz w:val="22"/>
          <w:szCs w:val="22"/>
        </w:rPr>
        <w:t xml:space="preserve"> produção de secreção relacionada à lubrificação e proteção da glande.</w:t>
      </w:r>
    </w:p>
    <w:p w14:paraId="42B0DFFC" w14:textId="77777777" w:rsidR="003720E0" w:rsidRDefault="003720E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168DB0A6" w14:textId="77777777" w:rsidR="003720E0" w:rsidRDefault="003720E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54BE8B92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Dor ou ardência ao urinar</w:t>
      </w:r>
      <w:r>
        <w:rPr>
          <w:sz w:val="22"/>
          <w:szCs w:val="22"/>
        </w:rPr>
        <w:t xml:space="preserve">; </w:t>
      </w:r>
    </w:p>
    <w:p w14:paraId="2CFD53E1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Secreção genital</w:t>
      </w:r>
      <w:r>
        <w:rPr>
          <w:sz w:val="22"/>
          <w:szCs w:val="22"/>
        </w:rPr>
        <w:t xml:space="preserve">, que pode ser esbranquiçada, amarelada ou esverdeada; </w:t>
      </w:r>
    </w:p>
    <w:p w14:paraId="0D87B18A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rStyle w:val="Forte"/>
          <w:b w:val="0"/>
          <w:bCs w:val="0"/>
          <w:sz w:val="22"/>
          <w:szCs w:val="22"/>
        </w:rPr>
        <w:t>Dor ou desconforto na região genital</w:t>
      </w:r>
      <w:r>
        <w:rPr>
          <w:sz w:val="22"/>
          <w:szCs w:val="22"/>
        </w:rPr>
        <w:t xml:space="preserve">; </w:t>
      </w:r>
    </w:p>
    <w:p w14:paraId="29B2A399" w14:textId="77777777" w:rsidR="003720E0" w:rsidRDefault="000B4D92">
      <w:pPr>
        <w:jc w:val="both"/>
        <w:rPr>
          <w:sz w:val="22"/>
          <w:szCs w:val="22"/>
        </w:rPr>
      </w:pPr>
      <w:r>
        <w:rPr>
          <w:rFonts w:eastAsia="Symbol"/>
          <w:sz w:val="22"/>
          <w:szCs w:val="22"/>
        </w:rPr>
        <w:t>·</w:t>
      </w:r>
      <w:r>
        <w:rPr>
          <w:rFonts w:eastAsia="SimSun"/>
          <w:sz w:val="22"/>
          <w:szCs w:val="22"/>
        </w:rPr>
        <w:t xml:space="preserve">  </w:t>
      </w:r>
      <w:r>
        <w:rPr>
          <w:sz w:val="22"/>
          <w:szCs w:val="22"/>
        </w:rPr>
        <w:t xml:space="preserve">Nas mulheres, pode ocorrer </w:t>
      </w:r>
      <w:r>
        <w:rPr>
          <w:rStyle w:val="Forte"/>
          <w:b w:val="0"/>
          <w:bCs w:val="0"/>
          <w:sz w:val="22"/>
          <w:szCs w:val="22"/>
        </w:rPr>
        <w:t>dor pélvica e sangramento fora do período menstrual</w:t>
      </w:r>
      <w:r>
        <w:rPr>
          <w:sz w:val="22"/>
          <w:szCs w:val="22"/>
        </w:rPr>
        <w:t>.</w:t>
      </w:r>
    </w:p>
    <w:p w14:paraId="453ADB5B" w14:textId="77777777" w:rsidR="003720E0" w:rsidRDefault="003720E0">
      <w:pPr>
        <w:numPr>
          <w:ilvl w:val="0"/>
          <w:numId w:val="1"/>
        </w:numPr>
        <w:jc w:val="both"/>
        <w:rPr>
          <w:sz w:val="22"/>
          <w:szCs w:val="22"/>
        </w:rPr>
      </w:pPr>
    </w:p>
    <w:p w14:paraId="7DFE036D" w14:textId="77777777" w:rsidR="003720E0" w:rsidRDefault="000B4D92">
      <w:pPr>
        <w:pStyle w:val="NormalWeb"/>
        <w:spacing w:before="0" w:after="0"/>
        <w:jc w:val="both"/>
        <w:rPr>
          <w:sz w:val="22"/>
          <w:szCs w:val="22"/>
        </w:rPr>
      </w:pPr>
      <w:r>
        <w:rPr>
          <w:rStyle w:val="Forte"/>
          <w:b w:val="0"/>
          <w:bCs w:val="0"/>
          <w:sz w:val="22"/>
          <w:szCs w:val="22"/>
        </w:rPr>
        <w:t>Hormonal:</w:t>
      </w:r>
    </w:p>
    <w:p w14:paraId="14D676D8" w14:textId="77777777" w:rsidR="003720E0" w:rsidRDefault="000B4D92">
      <w:pPr>
        <w:numPr>
          <w:ilvl w:val="0"/>
          <w:numId w:val="2"/>
        </w:numPr>
        <w:spacing w:beforeAutospacing="1" w:afterAutospacing="1"/>
        <w:jc w:val="both"/>
        <w:rPr>
          <w:sz w:val="22"/>
          <w:szCs w:val="22"/>
        </w:rPr>
      </w:pPr>
      <w:r>
        <w:rPr>
          <w:rStyle w:val="Forte"/>
          <w:b w:val="0"/>
          <w:bCs w:val="0"/>
          <w:sz w:val="22"/>
          <w:szCs w:val="22"/>
        </w:rPr>
        <w:t>Pílulas</w:t>
      </w:r>
      <w:r>
        <w:rPr>
          <w:sz w:val="22"/>
          <w:szCs w:val="22"/>
        </w:rPr>
        <w:t xml:space="preserve"> </w:t>
      </w:r>
    </w:p>
    <w:p w14:paraId="0299F4E5" w14:textId="77777777" w:rsidR="003720E0" w:rsidRDefault="000B4D92">
      <w:pPr>
        <w:numPr>
          <w:ilvl w:val="0"/>
          <w:numId w:val="2"/>
        </w:numPr>
        <w:spacing w:beforeAutospacing="1" w:afterAutospacing="1"/>
        <w:jc w:val="both"/>
        <w:rPr>
          <w:sz w:val="22"/>
          <w:szCs w:val="22"/>
        </w:rPr>
      </w:pPr>
      <w:r>
        <w:rPr>
          <w:rStyle w:val="Forte"/>
          <w:b w:val="0"/>
          <w:bCs w:val="0"/>
          <w:sz w:val="22"/>
          <w:szCs w:val="22"/>
        </w:rPr>
        <w:t>Adesivos</w:t>
      </w:r>
      <w:r>
        <w:rPr>
          <w:sz w:val="22"/>
          <w:szCs w:val="22"/>
        </w:rPr>
        <w:t xml:space="preserve"> </w:t>
      </w:r>
    </w:p>
    <w:p w14:paraId="6754A00C" w14:textId="77777777" w:rsidR="003720E0" w:rsidRDefault="000B4D92">
      <w:pPr>
        <w:numPr>
          <w:ilvl w:val="0"/>
          <w:numId w:val="2"/>
        </w:numPr>
        <w:spacing w:beforeAutospacing="1" w:afterAutospacing="1"/>
        <w:jc w:val="both"/>
        <w:rPr>
          <w:sz w:val="22"/>
          <w:szCs w:val="22"/>
        </w:rPr>
      </w:pPr>
      <w:r>
        <w:rPr>
          <w:rStyle w:val="Forte"/>
          <w:b w:val="0"/>
          <w:bCs w:val="0"/>
          <w:sz w:val="22"/>
          <w:szCs w:val="22"/>
        </w:rPr>
        <w:t>DIU hormonal</w:t>
      </w:r>
      <w:r>
        <w:rPr>
          <w:sz w:val="22"/>
          <w:szCs w:val="22"/>
        </w:rPr>
        <w:t xml:space="preserve"> </w:t>
      </w:r>
    </w:p>
    <w:p w14:paraId="348CE8AB" w14:textId="77777777" w:rsidR="003720E0" w:rsidRDefault="000B4D92">
      <w:pPr>
        <w:numPr>
          <w:ilvl w:val="0"/>
          <w:numId w:val="2"/>
        </w:numPr>
        <w:spacing w:beforeAutospacing="1" w:afterAutospacing="1"/>
        <w:jc w:val="both"/>
        <w:rPr>
          <w:sz w:val="22"/>
          <w:szCs w:val="22"/>
        </w:rPr>
      </w:pPr>
      <w:r>
        <w:rPr>
          <w:rStyle w:val="Forte"/>
          <w:b w:val="0"/>
          <w:bCs w:val="0"/>
          <w:sz w:val="22"/>
          <w:szCs w:val="22"/>
        </w:rPr>
        <w:t>Injeções</w:t>
      </w:r>
      <w:r>
        <w:rPr>
          <w:sz w:val="22"/>
          <w:szCs w:val="22"/>
        </w:rPr>
        <w:t xml:space="preserve"> </w:t>
      </w:r>
    </w:p>
    <w:p w14:paraId="1CC6BFB7" w14:textId="77777777" w:rsidR="003720E0" w:rsidRDefault="000B4D92">
      <w:pPr>
        <w:pStyle w:val="NormalWeb"/>
        <w:jc w:val="both"/>
        <w:rPr>
          <w:sz w:val="22"/>
          <w:szCs w:val="22"/>
        </w:rPr>
      </w:pPr>
      <w:r>
        <w:rPr>
          <w:rStyle w:val="Forte"/>
          <w:b w:val="0"/>
          <w:bCs w:val="0"/>
          <w:sz w:val="22"/>
          <w:szCs w:val="22"/>
        </w:rPr>
        <w:t>Irreversíveis:</w:t>
      </w:r>
    </w:p>
    <w:p w14:paraId="0FB58FEC" w14:textId="77777777" w:rsidR="003720E0" w:rsidRDefault="000B4D92">
      <w:pPr>
        <w:numPr>
          <w:ilvl w:val="0"/>
          <w:numId w:val="3"/>
        </w:numPr>
        <w:spacing w:beforeAutospacing="1" w:afterAutospacing="1"/>
        <w:jc w:val="both"/>
        <w:rPr>
          <w:sz w:val="22"/>
          <w:szCs w:val="22"/>
        </w:rPr>
      </w:pPr>
      <w:r>
        <w:rPr>
          <w:rStyle w:val="Forte"/>
          <w:b w:val="0"/>
          <w:bCs w:val="0"/>
          <w:sz w:val="22"/>
          <w:szCs w:val="22"/>
        </w:rPr>
        <w:t>Laqueadura</w:t>
      </w:r>
      <w:r>
        <w:rPr>
          <w:sz w:val="22"/>
          <w:szCs w:val="22"/>
        </w:rPr>
        <w:t xml:space="preserve"> </w:t>
      </w:r>
    </w:p>
    <w:p w14:paraId="435F0C4D" w14:textId="77777777" w:rsidR="003720E0" w:rsidRDefault="000B4D92">
      <w:pPr>
        <w:numPr>
          <w:ilvl w:val="0"/>
          <w:numId w:val="3"/>
        </w:numPr>
        <w:spacing w:beforeAutospacing="1" w:afterAutospacing="1"/>
        <w:jc w:val="both"/>
        <w:rPr>
          <w:sz w:val="22"/>
          <w:szCs w:val="22"/>
        </w:rPr>
      </w:pPr>
      <w:r>
        <w:rPr>
          <w:rStyle w:val="Forte"/>
          <w:b w:val="0"/>
          <w:bCs w:val="0"/>
          <w:sz w:val="22"/>
          <w:szCs w:val="22"/>
        </w:rPr>
        <w:t>Vasectomi</w:t>
      </w:r>
      <w:r>
        <w:rPr>
          <w:rStyle w:val="Forte"/>
          <w:b w:val="0"/>
          <w:bCs w:val="0"/>
          <w:sz w:val="22"/>
          <w:szCs w:val="22"/>
        </w:rPr>
        <w:t>a</w:t>
      </w:r>
    </w:p>
    <w:p w14:paraId="3067CF53" w14:textId="77777777" w:rsidR="003720E0" w:rsidRDefault="003720E0">
      <w:pPr>
        <w:spacing w:beforeAutospacing="1" w:afterAutospacing="1"/>
        <w:jc w:val="both"/>
        <w:rPr>
          <w:sz w:val="22"/>
          <w:szCs w:val="22"/>
        </w:rPr>
      </w:pPr>
    </w:p>
    <w:sectPr w:rsidR="003720E0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CE5CB5"/>
    <w:multiLevelType w:val="multilevel"/>
    <w:tmpl w:val="93CE5CB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E57B933D"/>
    <w:multiLevelType w:val="singleLevel"/>
    <w:tmpl w:val="E57B933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2014C11"/>
    <w:multiLevelType w:val="multilevel"/>
    <w:tmpl w:val="22014C1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022702187">
    <w:abstractNumId w:val="1"/>
  </w:num>
  <w:num w:numId="2" w16cid:durableId="317612868">
    <w:abstractNumId w:val="0"/>
  </w:num>
  <w:num w:numId="3" w16cid:durableId="377821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4D92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20E0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40E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009A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168278F1"/>
    <w:rsid w:val="2E892856"/>
    <w:rsid w:val="35A4398E"/>
    <w:rsid w:val="51CB250E"/>
    <w:rsid w:val="627E0125"/>
    <w:rsid w:val="64F35CCF"/>
    <w:rsid w:val="69C9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BAA03E1"/>
  <w15:docId w15:val="{AF35C4D5-2244-434D-8C5D-122A7A490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3910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Coordenacao fund II e Ens. Médio</cp:lastModifiedBy>
  <cp:revision>2</cp:revision>
  <cp:lastPrinted>2022-10-14T10:43:00Z</cp:lastPrinted>
  <dcterms:created xsi:type="dcterms:W3CDTF">2026-09-23T12:35:00Z</dcterms:created>
  <dcterms:modified xsi:type="dcterms:W3CDTF">2026-09-23T12:35:00Z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eyJoZGlkIjoiYjk5ODM0YmMxOWJiYWQyNDU4MGIzYWRmYTA0ZmI5NDciLCJ1c2VySWQiOiIxMjM2OTUxMDU1ODEyIn0=</vt:lpwstr>
  </property>
  <property fmtid="{D5CDD505-2E9C-101B-9397-08002B2CF9AE}" pid="4" name="KSOProductBuildVer">
    <vt:lpwstr>1046-12.1.0.28032</vt:lpwstr>
  </property>
  <property fmtid="{D5CDD505-2E9C-101B-9397-08002B2CF9AE}" pid="5" name="ICV">
    <vt:lpwstr>DB287D96A0254C3F96BE5378128084B4_13</vt:lpwstr>
  </property>
</Properties>
</file>