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95064" w:rsidRDefault="00FF0017">
      <w:pPr>
        <w:pStyle w:val="Ttulo3"/>
        <w:keepNext w:val="0"/>
        <w:keepLines w:val="0"/>
        <w:shd w:val="clear" w:color="auto" w:fill="FFFFFF"/>
        <w:spacing w:before="280"/>
        <w:rPr>
          <w:b/>
          <w:bCs/>
          <w:color w:val="222222"/>
          <w:sz w:val="26"/>
          <w:szCs w:val="26"/>
        </w:rPr>
      </w:pPr>
      <w:bookmarkStart w:id="0" w:name="_g8ssl0tvk3k1" w:colFirst="0" w:colLast="0"/>
      <w:bookmarkEnd w:id="0"/>
      <w:r>
        <w:rPr>
          <w:b/>
          <w:bCs/>
          <w:color w:val="222222"/>
          <w:sz w:val="26"/>
          <w:szCs w:val="26"/>
        </w:rPr>
        <w:t>Gabarito - Livro de História - P. 166 e 167</w:t>
      </w:r>
    </w:p>
    <w:p w14:paraId="00000002" w14:textId="77777777" w:rsidR="00195064" w:rsidRDefault="00FF0017">
      <w:pPr>
        <w:pStyle w:val="Ttulo3"/>
        <w:keepNext w:val="0"/>
        <w:keepLines w:val="0"/>
        <w:shd w:val="clear" w:color="auto" w:fill="FFFFFF"/>
        <w:spacing w:before="280"/>
        <w:rPr>
          <w:b/>
          <w:bCs/>
        </w:rPr>
      </w:pPr>
      <w:bookmarkStart w:id="1" w:name="_j6n6gxolamig" w:colFirst="0" w:colLast="0"/>
      <w:bookmarkEnd w:id="1"/>
      <w:r>
        <w:rPr>
          <w:b/>
          <w:bCs/>
          <w:color w:val="222222"/>
          <w:sz w:val="26"/>
          <w:szCs w:val="26"/>
        </w:rPr>
        <w:t xml:space="preserve">P. 166 </w:t>
      </w:r>
    </w:p>
    <w:p w14:paraId="00000003" w14:textId="77777777" w:rsidR="00195064" w:rsidRDefault="00FF0017">
      <w:pPr>
        <w:pStyle w:val="Ttulo3"/>
        <w:keepNext w:val="0"/>
        <w:keepLines w:val="0"/>
        <w:shd w:val="clear" w:color="auto" w:fill="FFFFFF"/>
        <w:spacing w:before="280"/>
        <w:rPr>
          <w:b/>
          <w:bCs/>
          <w:color w:val="222222"/>
          <w:sz w:val="26"/>
          <w:szCs w:val="26"/>
        </w:rPr>
      </w:pPr>
      <w:bookmarkStart w:id="2" w:name="_6tehcxj9kj03" w:colFirst="0" w:colLast="0"/>
      <w:bookmarkEnd w:id="2"/>
      <w:r>
        <w:rPr>
          <w:b/>
          <w:bCs/>
          <w:color w:val="222222"/>
          <w:sz w:val="26"/>
          <w:szCs w:val="26"/>
        </w:rPr>
        <w:t>1. Política indigenista no Segundo Reinado</w:t>
      </w:r>
    </w:p>
    <w:p w14:paraId="00000004" w14:textId="77777777" w:rsidR="00195064" w:rsidRDefault="00FF0017">
      <w:pPr>
        <w:numPr>
          <w:ilvl w:val="0"/>
          <w:numId w:val="5"/>
        </w:numPr>
        <w:shd w:val="clear" w:color="auto" w:fill="FFFFFF"/>
        <w:spacing w:before="200"/>
        <w:ind w:left="940"/>
      </w:pPr>
      <w:r>
        <w:rPr>
          <w:b/>
          <w:bCs/>
          <w:color w:val="222222"/>
        </w:rPr>
        <w:t>a)</w:t>
      </w:r>
      <w:r>
        <w:rPr>
          <w:color w:val="222222"/>
        </w:rPr>
        <w:t xml:space="preserve"> A política buscava assimilar/incorporar os indígenas à sociedade brasileira, impondo costumes, religião e valores considerados “civilizados”.</w:t>
      </w:r>
    </w:p>
    <w:p w14:paraId="00000005" w14:textId="77777777" w:rsidR="00195064" w:rsidRDefault="00FF0017">
      <w:pPr>
        <w:numPr>
          <w:ilvl w:val="0"/>
          <w:numId w:val="5"/>
        </w:numPr>
        <w:shd w:val="clear" w:color="auto" w:fill="FFFFFF"/>
        <w:spacing w:after="200"/>
        <w:ind w:left="940"/>
      </w:pPr>
      <w:r>
        <w:rPr>
          <w:b/>
          <w:bCs/>
          <w:color w:val="222222"/>
        </w:rPr>
        <w:t>b)</w:t>
      </w:r>
      <w:r>
        <w:rPr>
          <w:color w:val="222222"/>
        </w:rPr>
        <w:t xml:space="preserve"> Além da catequização, havia interesses em ocupar terras indígenas, explorar recursos e ampliar o controle do território.</w:t>
      </w:r>
    </w:p>
    <w:p w14:paraId="00000006" w14:textId="77777777" w:rsidR="00195064" w:rsidRDefault="00FF0017">
      <w:pPr>
        <w:pStyle w:val="Ttulo3"/>
        <w:keepNext w:val="0"/>
        <w:keepLines w:val="0"/>
        <w:shd w:val="clear" w:color="auto" w:fill="FFFFFF"/>
        <w:spacing w:before="280"/>
        <w:rPr>
          <w:b/>
          <w:bCs/>
          <w:color w:val="222222"/>
          <w:sz w:val="26"/>
          <w:szCs w:val="26"/>
        </w:rPr>
      </w:pPr>
      <w:bookmarkStart w:id="3" w:name="_o1zg9swzfcrh" w:colFirst="0" w:colLast="0"/>
      <w:bookmarkEnd w:id="3"/>
      <w:r>
        <w:rPr>
          <w:b/>
          <w:bCs/>
          <w:color w:val="222222"/>
          <w:sz w:val="26"/>
          <w:szCs w:val="26"/>
        </w:rPr>
        <w:t>2. Imigração no Segundo Reinado</w:t>
      </w:r>
    </w:p>
    <w:p w14:paraId="00000007" w14:textId="77777777" w:rsidR="00195064" w:rsidRDefault="00FF0017">
      <w:pPr>
        <w:numPr>
          <w:ilvl w:val="0"/>
          <w:numId w:val="6"/>
        </w:numPr>
        <w:shd w:val="clear" w:color="auto" w:fill="FFFFFF"/>
        <w:spacing w:before="200" w:after="200"/>
        <w:ind w:left="940"/>
      </w:pPr>
      <w:r>
        <w:rPr>
          <w:color w:val="222222"/>
        </w:rPr>
        <w:t>Resposta: C.</w:t>
      </w:r>
    </w:p>
    <w:p w14:paraId="00000008" w14:textId="77777777" w:rsidR="00195064" w:rsidRDefault="00FF0017">
      <w:pPr>
        <w:pStyle w:val="Ttulo3"/>
        <w:keepNext w:val="0"/>
        <w:keepLines w:val="0"/>
        <w:shd w:val="clear" w:color="auto" w:fill="FFFFFF"/>
        <w:spacing w:before="280"/>
        <w:rPr>
          <w:b/>
          <w:bCs/>
          <w:color w:val="222222"/>
          <w:sz w:val="26"/>
          <w:szCs w:val="26"/>
        </w:rPr>
      </w:pPr>
      <w:bookmarkStart w:id="4" w:name="_q4q0l5vfk7o9" w:colFirst="0" w:colLast="0"/>
      <w:bookmarkEnd w:id="4"/>
      <w:r>
        <w:rPr>
          <w:b/>
          <w:bCs/>
          <w:color w:val="222222"/>
          <w:sz w:val="26"/>
          <w:szCs w:val="26"/>
        </w:rPr>
        <w:t>3. Charge “De volta do Paraguai”</w:t>
      </w:r>
    </w:p>
    <w:p w14:paraId="00000009" w14:textId="77777777" w:rsidR="00195064" w:rsidRDefault="00FF0017">
      <w:pPr>
        <w:numPr>
          <w:ilvl w:val="0"/>
          <w:numId w:val="4"/>
        </w:numPr>
        <w:shd w:val="clear" w:color="auto" w:fill="FFFFFF"/>
        <w:spacing w:before="200"/>
        <w:ind w:left="940"/>
      </w:pPr>
      <w:r>
        <w:rPr>
          <w:color w:val="222222"/>
        </w:rPr>
        <w:t>A charge evidencia a contradição social de negros que lutaram pelo Brasil na Guerra do Paraguai enquanto a escravidão ainda existia.</w:t>
      </w:r>
    </w:p>
    <w:p w14:paraId="0000000A" w14:textId="77777777" w:rsidR="00195064" w:rsidRDefault="00FF0017">
      <w:pPr>
        <w:numPr>
          <w:ilvl w:val="0"/>
          <w:numId w:val="4"/>
        </w:numPr>
        <w:shd w:val="clear" w:color="auto" w:fill="FFFFFF"/>
        <w:spacing w:after="200"/>
        <w:ind w:left="940"/>
      </w:pPr>
      <w:r>
        <w:rPr>
          <w:color w:val="222222"/>
        </w:rPr>
        <w:t>A participação dos escravizados e libertos na guerra fortaleceu as críticas à escravidão e o movimento abolicionista.</w:t>
      </w:r>
    </w:p>
    <w:p w14:paraId="0000000B" w14:textId="77777777" w:rsidR="00195064" w:rsidRDefault="00FF0017">
      <w:pPr>
        <w:pStyle w:val="Ttulo3"/>
        <w:keepNext w:val="0"/>
        <w:keepLines w:val="0"/>
        <w:shd w:val="clear" w:color="auto" w:fill="FFFFFF"/>
        <w:spacing w:before="280"/>
        <w:rPr>
          <w:b/>
          <w:bCs/>
          <w:color w:val="222222"/>
          <w:sz w:val="26"/>
          <w:szCs w:val="26"/>
        </w:rPr>
      </w:pPr>
      <w:bookmarkStart w:id="5" w:name="_6n4eqcsiz78c" w:colFirst="0" w:colLast="0"/>
      <w:bookmarkEnd w:id="5"/>
      <w:r>
        <w:rPr>
          <w:b/>
          <w:bCs/>
          <w:color w:val="222222"/>
          <w:sz w:val="26"/>
          <w:szCs w:val="26"/>
        </w:rPr>
        <w:t>4. Processo de abolição</w:t>
      </w:r>
    </w:p>
    <w:p w14:paraId="0000000C" w14:textId="77777777" w:rsidR="00195064" w:rsidRDefault="00FF0017">
      <w:pPr>
        <w:numPr>
          <w:ilvl w:val="0"/>
          <w:numId w:val="2"/>
        </w:numPr>
        <w:shd w:val="clear" w:color="auto" w:fill="FFFFFF"/>
        <w:spacing w:before="200"/>
        <w:ind w:left="940"/>
      </w:pPr>
      <w:r>
        <w:rPr>
          <w:color w:val="222222"/>
        </w:rPr>
        <w:t>a) Principais leis: Lei Eusébio de Queirós (1850), Lei do Ventre Livre (1871), Lei dos Sexagenários (1885) e Lei Áurea (1888).</w:t>
      </w:r>
    </w:p>
    <w:p w14:paraId="0000000D" w14:textId="77777777" w:rsidR="00195064" w:rsidRDefault="00FF0017">
      <w:pPr>
        <w:numPr>
          <w:ilvl w:val="0"/>
          <w:numId w:val="2"/>
        </w:numPr>
        <w:shd w:val="clear" w:color="auto" w:fill="FFFFFF"/>
        <w:spacing w:after="200"/>
        <w:ind w:left="940"/>
      </w:pPr>
      <w:r>
        <w:rPr>
          <w:color w:val="222222"/>
        </w:rPr>
        <w:t>b) A charge transmite uma ideia de abolição pacífica e harmoniosa, mas a realidade foi marcada por resistências dos escravizados, conflitos e pressão do movimento abolicionista.</w:t>
      </w:r>
    </w:p>
    <w:p w14:paraId="0000000E" w14:textId="77777777" w:rsidR="00195064" w:rsidRDefault="00FF0017">
      <w:pPr>
        <w:pStyle w:val="Ttulo3"/>
        <w:keepNext w:val="0"/>
        <w:keepLines w:val="0"/>
        <w:shd w:val="clear" w:color="auto" w:fill="FFFFFF"/>
        <w:spacing w:before="280"/>
        <w:rPr>
          <w:b/>
          <w:bCs/>
          <w:color w:val="222222"/>
          <w:sz w:val="26"/>
          <w:szCs w:val="26"/>
        </w:rPr>
      </w:pPr>
      <w:bookmarkStart w:id="6" w:name="_mv1fhkn842id" w:colFirst="0" w:colLast="0"/>
      <w:bookmarkEnd w:id="6"/>
      <w:r>
        <w:rPr>
          <w:b/>
          <w:bCs/>
          <w:color w:val="222222"/>
          <w:sz w:val="26"/>
          <w:szCs w:val="26"/>
        </w:rPr>
        <w:t xml:space="preserve">Página 167 </w:t>
      </w:r>
    </w:p>
    <w:p w14:paraId="0000000F" w14:textId="77777777" w:rsidR="00195064" w:rsidRDefault="00FF0017">
      <w:pPr>
        <w:numPr>
          <w:ilvl w:val="0"/>
          <w:numId w:val="3"/>
        </w:numPr>
        <w:shd w:val="clear" w:color="auto" w:fill="FFFFFF"/>
        <w:spacing w:before="200"/>
        <w:ind w:left="940"/>
      </w:pPr>
      <w:r>
        <w:rPr>
          <w:color w:val="222222"/>
        </w:rPr>
        <w:t>O cartaz representa a luta dos abolicionistas e dos próprios escravizados contra a escravidão, mostrando que a abolição não foi simplesmente uma concessão da princesa Isabel.</w:t>
      </w:r>
    </w:p>
    <w:p w14:paraId="00000010" w14:textId="77777777" w:rsidR="00195064" w:rsidRDefault="00FF0017">
      <w:pPr>
        <w:numPr>
          <w:ilvl w:val="0"/>
          <w:numId w:val="3"/>
        </w:numPr>
        <w:shd w:val="clear" w:color="auto" w:fill="FFFFFF"/>
        <w:spacing w:after="200"/>
        <w:ind w:left="940"/>
      </w:pPr>
      <w:r>
        <w:rPr>
          <w:color w:val="222222"/>
        </w:rPr>
        <w:t>Destaca-se a resistência negra, os quilombos, fugas, mobilizações e a atuação dos movimentos abolicionistas.</w:t>
      </w:r>
    </w:p>
    <w:p w14:paraId="00000011" w14:textId="77777777" w:rsidR="00195064" w:rsidRDefault="00FF0017">
      <w:pPr>
        <w:pStyle w:val="Ttulo3"/>
        <w:keepNext w:val="0"/>
        <w:keepLines w:val="0"/>
        <w:shd w:val="clear" w:color="auto" w:fill="FFFFFF"/>
        <w:spacing w:before="280"/>
        <w:rPr>
          <w:b/>
          <w:bCs/>
          <w:color w:val="222222"/>
          <w:sz w:val="26"/>
          <w:szCs w:val="26"/>
        </w:rPr>
      </w:pPr>
      <w:bookmarkStart w:id="7" w:name="_b8hiyok8azc" w:colFirst="0" w:colLast="0"/>
      <w:bookmarkEnd w:id="7"/>
      <w:r>
        <w:rPr>
          <w:b/>
          <w:bCs/>
          <w:color w:val="222222"/>
          <w:sz w:val="26"/>
          <w:szCs w:val="26"/>
        </w:rPr>
        <w:t>7. ENEM</w:t>
      </w:r>
    </w:p>
    <w:p w14:paraId="00000012" w14:textId="77777777" w:rsidR="00195064" w:rsidRDefault="00FF0017">
      <w:pPr>
        <w:numPr>
          <w:ilvl w:val="0"/>
          <w:numId w:val="1"/>
        </w:numPr>
        <w:shd w:val="clear" w:color="auto" w:fill="FFFFFF"/>
        <w:spacing w:before="200" w:after="200"/>
        <w:ind w:left="940"/>
      </w:pPr>
      <w:r>
        <w:rPr>
          <w:color w:val="222222"/>
        </w:rPr>
        <w:t xml:space="preserve">Resposta: D </w:t>
      </w:r>
    </w:p>
    <w:sectPr w:rsidR="0019506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7C44F0D-F38E-482F-BF3C-726E3A513B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265AA82-5CE6-4154-A39B-BB8AC6EED6F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449E6"/>
    <w:multiLevelType w:val="multilevel"/>
    <w:tmpl w:val="9B58104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0217711"/>
    <w:multiLevelType w:val="multilevel"/>
    <w:tmpl w:val="3612B29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8A22853"/>
    <w:multiLevelType w:val="multilevel"/>
    <w:tmpl w:val="4B3CBD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5CB56B1"/>
    <w:multiLevelType w:val="multilevel"/>
    <w:tmpl w:val="1A2EA28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698187D"/>
    <w:multiLevelType w:val="multilevel"/>
    <w:tmpl w:val="4D18227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BED40CA"/>
    <w:multiLevelType w:val="multilevel"/>
    <w:tmpl w:val="7E9467C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87097755">
    <w:abstractNumId w:val="2"/>
  </w:num>
  <w:num w:numId="2" w16cid:durableId="136653466">
    <w:abstractNumId w:val="0"/>
  </w:num>
  <w:num w:numId="3" w16cid:durableId="1232542513">
    <w:abstractNumId w:val="1"/>
  </w:num>
  <w:num w:numId="4" w16cid:durableId="63570594">
    <w:abstractNumId w:val="4"/>
  </w:num>
  <w:num w:numId="5" w16cid:durableId="900410197">
    <w:abstractNumId w:val="5"/>
  </w:num>
  <w:num w:numId="6" w16cid:durableId="2480811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064"/>
    <w:rsid w:val="00195064"/>
    <w:rsid w:val="00263201"/>
    <w:rsid w:val="00FB02B3"/>
    <w:rsid w:val="00FF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D6542E-CE91-4962-BA8F-92EEB899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 Rosa</dc:creator>
  <cp:lastModifiedBy>Coordenacao fund II e Ens. Médio</cp:lastModifiedBy>
  <cp:revision>2</cp:revision>
  <dcterms:created xsi:type="dcterms:W3CDTF">2026-09-16T11:40:00Z</dcterms:created>
  <dcterms:modified xsi:type="dcterms:W3CDTF">2026-09-16T11:40:00Z</dcterms:modified>
</cp:coreProperties>
</file>